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Times New Roman" w:hAnsi="Times New Roman"/>
          <w:b/>
        </w:rPr>
      </w:pPr>
      <w:bookmarkStart w:id="0" w:name="OLE_LINK34"/>
      <w:bookmarkStart w:id="1" w:name="OLE_LINK24"/>
      <w:bookmarkStart w:id="2" w:name="OLE_LINK33"/>
      <w:bookmarkStart w:id="3" w:name="OLE_LINK13"/>
      <w:bookmarkStart w:id="4" w:name="OLE_LINK12"/>
      <w:r>
        <w:rPr>
          <w:rFonts w:ascii="Times New Roman" w:hAnsi="Times New Roman"/>
          <w:b/>
        </w:rPr>
        <w:t>3GPP TSG RAN WG1 #11</w:t>
      </w:r>
      <w:r>
        <w:rPr>
          <w:rFonts w:hint="eastAsia" w:ascii="Times New Roman" w:hAnsi="Times New Roman"/>
          <w:b/>
        </w:rPr>
        <w:t>3</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R1-2304934</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highlight w:val="yellow"/>
        </w:rPr>
      </w:pPr>
      <w:r>
        <w:rPr>
          <w:rFonts w:ascii="Times New Roman" w:hAnsi="Times New Roman"/>
          <w:b/>
        </w:rPr>
        <w:t>Incheon, Korea, May 22</w:t>
      </w:r>
      <w:r>
        <w:rPr>
          <w:rFonts w:ascii="Times New Roman" w:hAnsi="Times New Roman"/>
          <w:b/>
          <w:vertAlign w:val="superscript"/>
        </w:rPr>
        <w:t>nd</w:t>
      </w:r>
      <w:r>
        <w:rPr>
          <w:rFonts w:ascii="Times New Roman" w:hAnsi="Times New Roman"/>
          <w:b/>
        </w:rPr>
        <w:t xml:space="preserve"> – May 26</w:t>
      </w:r>
      <w:r>
        <w:rPr>
          <w:rFonts w:ascii="Times New Roman" w:hAnsi="Times New Roman"/>
          <w:b/>
          <w:vertAlign w:val="superscript"/>
        </w:rPr>
        <w:t>th</w:t>
      </w:r>
      <w:r>
        <w:rPr>
          <w:rFonts w:ascii="Times New Roman" w:hAnsi="Times New Roman"/>
          <w:b/>
        </w:rPr>
        <w:t>, 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rPr>
      </w:pPr>
      <w:bookmarkStart w:id="5" w:name="OLE_LINK1"/>
      <w:r>
        <w:rPr>
          <w:rFonts w:ascii="Times New Roman" w:hAnsi="Times New Roman"/>
          <w:b/>
        </w:rPr>
        <w:t>Source:</w:t>
      </w:r>
      <w:r>
        <w:rPr>
          <w:rFonts w:ascii="Times New Roman" w:hAnsi="Times New Roman"/>
          <w:b/>
        </w:rPr>
        <w:tab/>
      </w:r>
      <w:r>
        <w:rPr>
          <w:rFonts w:ascii="Times New Roman" w:hAnsi="Times New Roman"/>
          <w:b/>
        </w:rPr>
        <w:t>ZTE</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Title:</w:t>
      </w:r>
      <w:r>
        <w:rPr>
          <w:rFonts w:ascii="Times New Roman" w:hAnsi="Times New Roman"/>
          <w:b/>
        </w:rPr>
        <w:tab/>
      </w:r>
      <w:r>
        <w:rPr>
          <w:rFonts w:hint="eastAsia" w:ascii="Times New Roman" w:hAnsi="Times New Roman"/>
          <w:b/>
        </w:rPr>
        <w:t>Discussion on UE feature for Rel-18 NR positioning</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Agenda item:</w:t>
      </w:r>
      <w:r>
        <w:rPr>
          <w:rFonts w:ascii="Times New Roman" w:hAnsi="Times New Roman"/>
          <w:b/>
        </w:rPr>
        <w:tab/>
      </w:r>
      <w:r>
        <w:rPr>
          <w:rFonts w:ascii="Times New Roman" w:hAnsi="Times New Roman"/>
          <w:b/>
        </w:rPr>
        <w:t>9.</w:t>
      </w:r>
      <w:r>
        <w:rPr>
          <w:rFonts w:hint="eastAsia" w:ascii="Times New Roman" w:hAnsi="Times New Roman"/>
          <w:b/>
        </w:rPr>
        <w:t>16.2</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Document for:</w:t>
      </w:r>
      <w:r>
        <w:rPr>
          <w:rFonts w:ascii="Times New Roman" w:hAnsi="Times New Roman"/>
          <w:b/>
        </w:rPr>
        <w:tab/>
      </w:r>
      <w:r>
        <w:rPr>
          <w:rFonts w:ascii="Times New Roman" w:hAnsi="Times New Roman"/>
          <w:b/>
        </w:rPr>
        <w:t>Discussion and Decision</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Introduction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recent </w:t>
      </w:r>
      <w:r>
        <w:rPr>
          <w:rFonts w:ascii="Times New Roman" w:hAnsi="Times New Roman"/>
          <w:sz w:val="20"/>
          <w:szCs w:val="20"/>
        </w:rPr>
        <w:t xml:space="preserve">3GPP TSG RAN </w:t>
      </w:r>
      <w:r>
        <w:rPr>
          <w:rFonts w:hint="eastAsia" w:ascii="Times New Roman" w:hAnsi="Times New Roman"/>
          <w:sz w:val="20"/>
          <w:szCs w:val="20"/>
        </w:rPr>
        <w:t xml:space="preserve">WG1 meetings, the enhancements for Rel-18 positioning have been comprehensively discussed in RAN1 aspect. Some enhancements have been agreed to improve the performance of NR positioning. As the discussion on positioning in Rel-18 is drawing to an end, we need to define new UE features for the enhancements that are approved in Rel-18 NR positioning.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views towards the UE feature on Rel-18 NR positioning to support the agreed enhancement for positioning sub-agendas, including Sidelink positioning, NR DL and UL carrier phase positioning, LPHAP, </w:t>
      </w:r>
      <w:bookmarkStart w:id="6" w:name="_Toc131604805"/>
      <w:bookmarkStart w:id="7" w:name="_Toc134040055"/>
      <w:r>
        <w:rPr>
          <w:rFonts w:hint="eastAsia" w:ascii="Times New Roman" w:hAnsi="Times New Roman"/>
          <w:sz w:val="20"/>
          <w:szCs w:val="20"/>
        </w:rPr>
        <w:t>Bandwidth aggregation for positioning measurement</w:t>
      </w:r>
      <w:bookmarkEnd w:id="6"/>
      <w:bookmarkEnd w:id="7"/>
      <w:r>
        <w:rPr>
          <w:rFonts w:hint="eastAsia" w:ascii="Times New Roman" w:hAnsi="Times New Roman"/>
          <w:sz w:val="20"/>
          <w:szCs w:val="20"/>
        </w:rPr>
        <w:t>s and positioning for RedCap UEs.</w:t>
      </w:r>
    </w:p>
    <w:p>
      <w:pPr>
        <w:sectPr>
          <w:footerReference r:id="rId5" w:type="default"/>
          <w:type w:val="continuous"/>
          <w:pgSz w:w="12240" w:h="15840"/>
          <w:pgMar w:top="850" w:right="1134" w:bottom="567" w:left="1134" w:header="720" w:footer="720" w:gutter="0"/>
          <w:cols w:space="0" w:num="1"/>
          <w:docGrid w:type="lines" w:linePitch="360" w:charSpace="0"/>
        </w:sectPr>
      </w:pPr>
    </w:p>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sidelink positioning</w:t>
      </w:r>
    </w:p>
    <w:p>
      <w:pPr>
        <w:snapToGrid w:val="0"/>
        <w:spacing w:after="180" w:afterLines="50" w:line="240" w:lineRule="auto"/>
        <w:rPr>
          <w:rFonts w:ascii="Times New Roman" w:hAnsi="Times New Roman"/>
          <w:sz w:val="20"/>
        </w:rPr>
      </w:pPr>
      <w:r>
        <w:rPr>
          <w:rFonts w:ascii="Times New Roman" w:hAnsi="Times New Roman"/>
          <w:sz w:val="20"/>
        </w:rPr>
        <w:t>Regarding UE features on SL positioning, we provide our views as shown below:</w:t>
      </w:r>
    </w:p>
    <w:p>
      <w:pPr>
        <w:pStyle w:val="15"/>
        <w:snapToGrid w:val="0"/>
        <w:contextualSpacing/>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eastAsia="zh-CN"/>
        </w:rPr>
        <w:t xml:space="preserve">: </w:t>
      </w:r>
      <w:r>
        <w:rPr>
          <w:rFonts w:hint="eastAsia"/>
          <w:b w:val="0"/>
          <w:bCs w:val="0"/>
          <w:i/>
          <w:iCs/>
          <w:lang w:val="en-US" w:eastAsia="zh-CN"/>
        </w:rPr>
        <w:t>Introduce a new FG 41-</w:t>
      </w:r>
      <w:r>
        <w:rPr>
          <w:b w:val="0"/>
          <w:bCs w:val="0"/>
          <w:i/>
          <w:iCs/>
          <w:lang w:val="en-US" w:eastAsia="zh-CN"/>
        </w:rPr>
        <w:t>1</w:t>
      </w:r>
      <w:r>
        <w:rPr>
          <w:rFonts w:hint="eastAsia"/>
          <w:b w:val="0"/>
          <w:bCs w:val="0"/>
          <w:i/>
          <w:iCs/>
          <w:lang w:val="en-US" w:eastAsia="zh-CN"/>
        </w:rPr>
        <w:t>-1 for</w:t>
      </w:r>
      <w:r>
        <w:rPr>
          <w:b w:val="0"/>
          <w:bCs w:val="0"/>
          <w:i/>
          <w:iCs/>
          <w:lang w:val="en-US" w:eastAsia="zh-CN"/>
        </w:rPr>
        <w:t xml:space="preserve"> receiving and processing SL PRS</w:t>
      </w:r>
      <w:r>
        <w:rPr>
          <w:rFonts w:hint="eastAsia"/>
          <w:b w:val="0"/>
          <w:bCs w:val="0"/>
          <w:i/>
          <w:iCs/>
          <w:lang w:val="en-US" w:eastAsia="zh-CN"/>
        </w:rPr>
        <w:t>:</w:t>
      </w:r>
    </w:p>
    <w:p>
      <w:pPr>
        <w:pStyle w:val="94"/>
        <w:numPr>
          <w:ilvl w:val="0"/>
          <w:numId w:val="4"/>
        </w:numPr>
        <w:snapToGrid w:val="0"/>
        <w:rPr>
          <w:i/>
          <w:sz w:val="20"/>
        </w:rPr>
      </w:pPr>
      <w:r>
        <w:rPr>
          <w:i/>
          <w:sz w:val="20"/>
          <w:lang w:eastAsia="zh-CN"/>
        </w:rPr>
        <w:t>Maximum SL PRS bandwidth: up to 100 MHz in FR1 spectrum</w:t>
      </w:r>
    </w:p>
    <w:p>
      <w:pPr>
        <w:pStyle w:val="94"/>
        <w:numPr>
          <w:ilvl w:val="0"/>
          <w:numId w:val="4"/>
        </w:numPr>
        <w:snapToGrid w:val="0"/>
        <w:rPr>
          <w:rFonts w:hint="eastAsia"/>
          <w:i/>
          <w:sz w:val="20"/>
        </w:rPr>
      </w:pPr>
      <w:r>
        <w:rPr>
          <w:i/>
          <w:sz w:val="20"/>
          <w:lang w:eastAsia="zh-CN"/>
        </w:rPr>
        <w:t>Support SCS values for SL PRS: 15 kHz, 30 kHz, 60 kHz for FR1, and 60 kHz, 120 kHz for FR2</w:t>
      </w:r>
    </w:p>
    <w:p>
      <w:pPr>
        <w:snapToGrid w:val="0"/>
        <w:spacing w:after="180" w:afterLines="50" w:line="240" w:lineRule="auto"/>
        <w:contextualSpacing/>
        <w:rPr>
          <w:rFonts w:ascii="Times New Roman" w:hAnsi="Times New Roman"/>
          <w:sz w:val="20"/>
        </w:rPr>
      </w:pPr>
    </w:p>
    <w:p>
      <w:pPr>
        <w:pStyle w:val="15"/>
        <w:snapToGrid w:val="0"/>
        <w:contextualSpacing/>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hint="eastAsia"/>
          <w:i/>
          <w:iCs/>
          <w:lang w:val="en-US" w:eastAsia="zh-CN"/>
        </w:rPr>
        <w:t xml:space="preserve">: </w:t>
      </w:r>
      <w:r>
        <w:rPr>
          <w:rFonts w:hint="eastAsia"/>
          <w:b w:val="0"/>
          <w:bCs w:val="0"/>
          <w:i/>
          <w:iCs/>
          <w:lang w:val="en-US" w:eastAsia="zh-CN"/>
        </w:rPr>
        <w:t>Introduce a new FG 41-</w:t>
      </w:r>
      <w:r>
        <w:rPr>
          <w:b w:val="0"/>
          <w:bCs w:val="0"/>
          <w:i/>
          <w:iCs/>
          <w:lang w:val="en-US" w:eastAsia="zh-CN"/>
        </w:rPr>
        <w:t>1</w:t>
      </w:r>
      <w:r>
        <w:rPr>
          <w:rFonts w:hint="eastAsia"/>
          <w:b w:val="0"/>
          <w:bCs w:val="0"/>
          <w:i/>
          <w:iCs/>
          <w:lang w:val="en-US" w:eastAsia="zh-CN"/>
        </w:rPr>
        <w:t>-</w:t>
      </w:r>
      <w:r>
        <w:rPr>
          <w:b w:val="0"/>
          <w:bCs w:val="0"/>
          <w:i/>
          <w:iCs/>
          <w:lang w:val="en-US" w:eastAsia="zh-CN"/>
        </w:rPr>
        <w:t>2</w:t>
      </w:r>
      <w:r>
        <w:rPr>
          <w:rFonts w:hint="eastAsia"/>
          <w:b w:val="0"/>
          <w:bCs w:val="0"/>
          <w:i/>
          <w:iCs/>
          <w:lang w:val="en-US" w:eastAsia="zh-CN"/>
        </w:rPr>
        <w:t xml:space="preserve"> for</w:t>
      </w:r>
      <w:r>
        <w:rPr>
          <w:b w:val="0"/>
          <w:bCs w:val="0"/>
          <w:i/>
          <w:iCs/>
          <w:lang w:val="en-US" w:eastAsia="zh-CN"/>
        </w:rPr>
        <w:t xml:space="preserve"> SL PRS measurement report</w:t>
      </w:r>
      <w:r>
        <w:rPr>
          <w:rFonts w:hint="eastAsia"/>
          <w:b w:val="0"/>
          <w:bCs w:val="0"/>
          <w:i/>
          <w:iCs/>
          <w:lang w:val="en-US" w:eastAsia="zh-CN"/>
        </w:rPr>
        <w:t>:</w:t>
      </w:r>
    </w:p>
    <w:p>
      <w:pPr>
        <w:pStyle w:val="94"/>
        <w:numPr>
          <w:ilvl w:val="0"/>
          <w:numId w:val="5"/>
        </w:numPr>
        <w:snapToGrid w:val="0"/>
        <w:spacing w:afterLines="50" w:line="240" w:lineRule="auto"/>
        <w:rPr>
          <w:sz w:val="20"/>
        </w:rPr>
      </w:pPr>
      <w:r>
        <w:rPr>
          <w:rFonts w:hint="eastAsia"/>
          <w:i/>
          <w:sz w:val="20"/>
          <w:lang w:eastAsia="zh-CN"/>
        </w:rPr>
        <w:t>S</w:t>
      </w:r>
      <w:r>
        <w:rPr>
          <w:i/>
          <w:sz w:val="20"/>
          <w:lang w:eastAsia="zh-CN"/>
        </w:rPr>
        <w:t>L PRS measurement report for SL-TDoA</w:t>
      </w:r>
    </w:p>
    <w:p>
      <w:pPr>
        <w:pStyle w:val="94"/>
        <w:numPr>
          <w:ilvl w:val="0"/>
          <w:numId w:val="5"/>
        </w:numPr>
        <w:snapToGrid w:val="0"/>
        <w:spacing w:afterLines="50" w:line="240" w:lineRule="auto"/>
        <w:rPr>
          <w:sz w:val="20"/>
        </w:rPr>
      </w:pPr>
      <w:r>
        <w:rPr>
          <w:rFonts w:eastAsia="MS Mincho"/>
          <w:i/>
          <w:sz w:val="20"/>
        </w:rPr>
        <w:t>SL PRS</w:t>
      </w:r>
      <w:r>
        <w:rPr>
          <w:rFonts w:eastAsia="MS Mincho"/>
          <w:sz w:val="20"/>
        </w:rPr>
        <w:t xml:space="preserve"> </w:t>
      </w:r>
      <w:r>
        <w:rPr>
          <w:i/>
          <w:sz w:val="20"/>
          <w:lang w:eastAsia="zh-CN"/>
        </w:rPr>
        <w:t>measurement report for SL RTT</w:t>
      </w:r>
    </w:p>
    <w:p>
      <w:pPr>
        <w:pStyle w:val="94"/>
        <w:numPr>
          <w:ilvl w:val="0"/>
          <w:numId w:val="5"/>
        </w:numPr>
        <w:snapToGrid w:val="0"/>
        <w:spacing w:afterLines="50" w:line="240" w:lineRule="auto"/>
        <w:rPr>
          <w:sz w:val="20"/>
        </w:rPr>
      </w:pPr>
      <w:r>
        <w:rPr>
          <w:rFonts w:eastAsia="MS Mincho"/>
          <w:i/>
          <w:sz w:val="20"/>
        </w:rPr>
        <w:t>SL PRS</w:t>
      </w:r>
      <w:r>
        <w:rPr>
          <w:rFonts w:eastAsia="MS Mincho"/>
          <w:sz w:val="20"/>
        </w:rPr>
        <w:t xml:space="preserve"> </w:t>
      </w:r>
      <w:r>
        <w:rPr>
          <w:i/>
          <w:sz w:val="20"/>
          <w:lang w:eastAsia="zh-CN"/>
        </w:rPr>
        <w:t>measurement report for SL AoA</w:t>
      </w:r>
    </w:p>
    <w:p>
      <w:pPr>
        <w:pStyle w:val="94"/>
        <w:numPr>
          <w:ilvl w:val="0"/>
          <w:numId w:val="5"/>
        </w:numPr>
        <w:snapToGrid w:val="0"/>
        <w:spacing w:afterLines="50" w:line="240" w:lineRule="auto"/>
        <w:rPr>
          <w:rFonts w:hint="eastAsia"/>
          <w:sz w:val="20"/>
        </w:rPr>
      </w:pPr>
      <w:r>
        <w:rPr>
          <w:rFonts w:eastAsia="MS Mincho"/>
          <w:i/>
          <w:sz w:val="20"/>
        </w:rPr>
        <w:t>Support of SL PRS RSRP and SL PRS RSRPP measurement</w:t>
      </w:r>
    </w:p>
    <w:p>
      <w:pPr>
        <w:snapToGrid w:val="0"/>
        <w:spacing w:after="180" w:afterLines="50" w:line="240" w:lineRule="auto"/>
        <w:contextualSpacing/>
        <w:rPr>
          <w:rFonts w:ascii="Times New Roman" w:hAnsi="Times New Roman"/>
          <w:sz w:val="20"/>
        </w:rPr>
      </w:pPr>
    </w:p>
    <w:p>
      <w:pPr>
        <w:pStyle w:val="15"/>
        <w:snapToGrid w:val="0"/>
        <w:contextualSpacing/>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rFonts w:hint="eastAsia"/>
          <w:i/>
          <w:iCs/>
          <w:lang w:val="en-US" w:eastAsia="zh-CN"/>
        </w:rPr>
        <w:t xml:space="preserve">: </w:t>
      </w:r>
      <w:r>
        <w:rPr>
          <w:rFonts w:hint="eastAsia"/>
          <w:b w:val="0"/>
          <w:bCs w:val="0"/>
          <w:i/>
          <w:iCs/>
          <w:lang w:val="en-US" w:eastAsia="zh-CN"/>
        </w:rPr>
        <w:t>Introduce a new FG 41-</w:t>
      </w:r>
      <w:r>
        <w:rPr>
          <w:b w:val="0"/>
          <w:bCs w:val="0"/>
          <w:i/>
          <w:iCs/>
          <w:lang w:val="en-US" w:eastAsia="zh-CN"/>
        </w:rPr>
        <w:t>1</w:t>
      </w:r>
      <w:r>
        <w:rPr>
          <w:rFonts w:hint="eastAsia"/>
          <w:b w:val="0"/>
          <w:bCs w:val="0"/>
          <w:i/>
          <w:iCs/>
          <w:lang w:val="en-US" w:eastAsia="zh-CN"/>
        </w:rPr>
        <w:t>-</w:t>
      </w:r>
      <w:r>
        <w:rPr>
          <w:b w:val="0"/>
          <w:bCs w:val="0"/>
          <w:i/>
          <w:iCs/>
          <w:lang w:val="en-US" w:eastAsia="zh-CN"/>
        </w:rPr>
        <w:t>3</w:t>
      </w:r>
      <w:r>
        <w:rPr>
          <w:rFonts w:hint="eastAsia"/>
          <w:b w:val="0"/>
          <w:bCs w:val="0"/>
          <w:i/>
          <w:iCs/>
          <w:lang w:val="en-US" w:eastAsia="zh-CN"/>
        </w:rPr>
        <w:t xml:space="preserve"> for</w:t>
      </w:r>
      <w:r>
        <w:rPr>
          <w:b w:val="0"/>
          <w:bCs w:val="0"/>
          <w:i/>
          <w:iCs/>
          <w:lang w:val="en-US" w:eastAsia="zh-CN"/>
        </w:rPr>
        <w:t xml:space="preserve"> SL PRS transmission in resource allocation scheme 1</w:t>
      </w:r>
      <w:r>
        <w:rPr>
          <w:rFonts w:hint="eastAsia"/>
          <w:b w:val="0"/>
          <w:bCs w:val="0"/>
          <w:i/>
          <w:iCs/>
          <w:lang w:val="en-US" w:eastAsia="zh-CN"/>
        </w:rPr>
        <w:t>:</w:t>
      </w:r>
    </w:p>
    <w:p>
      <w:pPr>
        <w:pStyle w:val="94"/>
        <w:numPr>
          <w:ilvl w:val="0"/>
          <w:numId w:val="6"/>
        </w:numPr>
        <w:snapToGrid w:val="0"/>
        <w:spacing w:afterLines="50" w:line="240" w:lineRule="auto"/>
        <w:rPr>
          <w:i/>
          <w:sz w:val="20"/>
        </w:rPr>
      </w:pPr>
      <w:r>
        <w:rPr>
          <w:rFonts w:hint="eastAsia"/>
          <w:i/>
          <w:sz w:val="20"/>
          <w:lang w:eastAsia="zh-CN"/>
        </w:rPr>
        <w:t>U</w:t>
      </w:r>
      <w:r>
        <w:rPr>
          <w:i/>
          <w:sz w:val="20"/>
          <w:lang w:eastAsia="zh-CN"/>
        </w:rPr>
        <w:t>E can transmit SL PRS/PSCCH using dynamic scheduling or configured grant type 1 and 2 in scheme 1 SL PRS resource allocation scheduled by NR Uu.</w:t>
      </w:r>
    </w:p>
    <w:p>
      <w:pPr>
        <w:pStyle w:val="94"/>
        <w:numPr>
          <w:ilvl w:val="0"/>
          <w:numId w:val="6"/>
        </w:numPr>
        <w:snapToGrid w:val="0"/>
        <w:spacing w:afterLines="50" w:line="240" w:lineRule="auto"/>
        <w:rPr>
          <w:i/>
          <w:sz w:val="20"/>
        </w:rPr>
      </w:pPr>
      <w:r>
        <w:rPr>
          <w:i/>
          <w:sz w:val="20"/>
        </w:rPr>
        <w:t xml:space="preserve">UE can monitor DCI format X for SL PRS dynamic scheduling and configured grant type 2 </w:t>
      </w:r>
    </w:p>
    <w:p>
      <w:pPr>
        <w:pStyle w:val="94"/>
        <w:numPr>
          <w:ilvl w:val="0"/>
          <w:numId w:val="6"/>
        </w:numPr>
        <w:snapToGrid w:val="0"/>
        <w:spacing w:afterLines="50" w:line="240" w:lineRule="auto"/>
        <w:rPr>
          <w:i/>
          <w:sz w:val="20"/>
        </w:rPr>
      </w:pPr>
      <w:r>
        <w:rPr>
          <w:rFonts w:eastAsiaTheme="minorEastAsia"/>
          <w:i/>
          <w:sz w:val="20"/>
          <w:lang w:eastAsia="zh-CN"/>
        </w:rPr>
        <w:t>Support downlink pathloss power control</w:t>
      </w:r>
    </w:p>
    <w:p>
      <w:pPr>
        <w:snapToGrid w:val="0"/>
        <w:spacing w:after="180" w:afterLines="50" w:line="240" w:lineRule="auto"/>
        <w:contextualSpacing/>
        <w:rPr>
          <w:rFonts w:hint="eastAsia"/>
          <w:sz w:val="20"/>
        </w:rPr>
      </w:pPr>
    </w:p>
    <w:p>
      <w:pPr>
        <w:pStyle w:val="15"/>
        <w:snapToGrid w:val="0"/>
        <w:contextualSpacing/>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rFonts w:hint="eastAsia"/>
          <w:i/>
          <w:iCs/>
          <w:lang w:val="en-US" w:eastAsia="zh-CN"/>
        </w:rPr>
        <w:t xml:space="preserve">: </w:t>
      </w:r>
      <w:r>
        <w:rPr>
          <w:rFonts w:hint="eastAsia"/>
          <w:b w:val="0"/>
          <w:bCs w:val="0"/>
          <w:i/>
          <w:iCs/>
          <w:lang w:val="en-US" w:eastAsia="zh-CN"/>
        </w:rPr>
        <w:t>Introduce a new FG 41-</w:t>
      </w:r>
      <w:r>
        <w:rPr>
          <w:b w:val="0"/>
          <w:bCs w:val="0"/>
          <w:i/>
          <w:iCs/>
          <w:lang w:val="en-US" w:eastAsia="zh-CN"/>
        </w:rPr>
        <w:t>1</w:t>
      </w:r>
      <w:r>
        <w:rPr>
          <w:rFonts w:hint="eastAsia"/>
          <w:b w:val="0"/>
          <w:bCs w:val="0"/>
          <w:i/>
          <w:iCs/>
          <w:lang w:val="en-US" w:eastAsia="zh-CN"/>
        </w:rPr>
        <w:t>-</w:t>
      </w:r>
      <w:r>
        <w:rPr>
          <w:b w:val="0"/>
          <w:bCs w:val="0"/>
          <w:i/>
          <w:iCs/>
          <w:lang w:val="en-US" w:eastAsia="zh-CN"/>
        </w:rPr>
        <w:t>4</w:t>
      </w:r>
      <w:r>
        <w:rPr>
          <w:rFonts w:hint="eastAsia"/>
          <w:b w:val="0"/>
          <w:bCs w:val="0"/>
          <w:i/>
          <w:iCs/>
          <w:lang w:val="en-US" w:eastAsia="zh-CN"/>
        </w:rPr>
        <w:t xml:space="preserve"> for</w:t>
      </w:r>
      <w:r>
        <w:rPr>
          <w:b w:val="0"/>
          <w:bCs w:val="0"/>
          <w:i/>
          <w:iCs/>
          <w:lang w:val="en-US" w:eastAsia="zh-CN"/>
        </w:rPr>
        <w:t xml:space="preserve"> SL PRS transmission in resource allocation scheme 2</w:t>
      </w:r>
      <w:r>
        <w:rPr>
          <w:rFonts w:hint="eastAsia"/>
          <w:b w:val="0"/>
          <w:bCs w:val="0"/>
          <w:i/>
          <w:iCs/>
          <w:lang w:val="en-US" w:eastAsia="zh-CN"/>
        </w:rPr>
        <w:t>:</w:t>
      </w:r>
    </w:p>
    <w:p>
      <w:pPr>
        <w:pStyle w:val="94"/>
        <w:numPr>
          <w:ilvl w:val="0"/>
          <w:numId w:val="7"/>
        </w:numPr>
        <w:snapToGrid w:val="0"/>
        <w:spacing w:afterLines="50" w:line="240" w:lineRule="auto"/>
        <w:rPr>
          <w:sz w:val="20"/>
        </w:rPr>
      </w:pPr>
      <w:r>
        <w:rPr>
          <w:rFonts w:hint="eastAsia"/>
          <w:i/>
          <w:sz w:val="20"/>
          <w:lang w:eastAsia="zh-CN"/>
        </w:rPr>
        <w:t>U</w:t>
      </w:r>
      <w:r>
        <w:rPr>
          <w:i/>
          <w:sz w:val="20"/>
          <w:lang w:eastAsia="zh-CN"/>
        </w:rPr>
        <w:t>E can transmit SL PRS/PSCCH using scheme 2 SL PRS resource allocation configured by NR Uu or preconfiguration.</w:t>
      </w:r>
    </w:p>
    <w:p>
      <w:pPr>
        <w:pStyle w:val="94"/>
        <w:numPr>
          <w:ilvl w:val="0"/>
          <w:numId w:val="7"/>
        </w:numPr>
        <w:snapToGrid w:val="0"/>
        <w:spacing w:afterLines="50" w:line="240" w:lineRule="auto"/>
        <w:rPr>
          <w:i/>
          <w:sz w:val="20"/>
        </w:rPr>
      </w:pPr>
      <w:r>
        <w:rPr>
          <w:rFonts w:eastAsia="MS Mincho"/>
          <w:i/>
          <w:sz w:val="20"/>
        </w:rPr>
        <w:t>UE can perform scheme 2 sensing and resource allocation operations</w:t>
      </w:r>
    </w:p>
    <w:p>
      <w:pPr>
        <w:pStyle w:val="94"/>
        <w:numPr>
          <w:ilvl w:val="0"/>
          <w:numId w:val="7"/>
        </w:numPr>
        <w:snapToGrid w:val="0"/>
        <w:spacing w:afterLines="50" w:line="240" w:lineRule="auto"/>
        <w:rPr>
          <w:i/>
          <w:sz w:val="20"/>
        </w:rPr>
      </w:pPr>
      <w:r>
        <w:rPr>
          <w:rFonts w:hint="eastAsia" w:eastAsiaTheme="minorEastAsia"/>
          <w:i/>
          <w:sz w:val="20"/>
          <w:lang w:eastAsia="zh-CN"/>
        </w:rPr>
        <w:t>U</w:t>
      </w:r>
      <w:r>
        <w:rPr>
          <w:rFonts w:eastAsiaTheme="minorEastAsia"/>
          <w:i/>
          <w:sz w:val="20"/>
          <w:lang w:eastAsia="zh-CN"/>
        </w:rPr>
        <w:t>E can perform random resource selection</w:t>
      </w:r>
    </w:p>
    <w:p>
      <w:pPr>
        <w:pStyle w:val="94"/>
        <w:numPr>
          <w:ilvl w:val="0"/>
          <w:numId w:val="7"/>
        </w:numPr>
        <w:snapToGrid w:val="0"/>
        <w:spacing w:afterLines="50" w:line="240" w:lineRule="auto"/>
        <w:rPr>
          <w:rFonts w:hint="eastAsia"/>
          <w:i/>
          <w:sz w:val="20"/>
        </w:rPr>
      </w:pPr>
      <w:r>
        <w:rPr>
          <w:rFonts w:eastAsiaTheme="minorEastAsia"/>
          <w:i/>
          <w:sz w:val="20"/>
          <w:lang w:eastAsia="zh-CN"/>
        </w:rPr>
        <w:t>Support downlink pathloss power control when scheme 2 is configured by NR Uu</w:t>
      </w:r>
    </w:p>
    <w:p>
      <w:pPr>
        <w:snapToGrid w:val="0"/>
        <w:spacing w:after="180" w:afterLines="50" w:line="240" w:lineRule="auto"/>
        <w:contextualSpacing/>
        <w:rPr>
          <w:rFonts w:hint="eastAsia" w:ascii="Times New Roman" w:hAnsi="Times New Roman"/>
          <w:sz w:val="20"/>
        </w:rPr>
      </w:pPr>
    </w:p>
    <w:p>
      <w:pPr>
        <w:pStyle w:val="15"/>
        <w:snapToGrid w:val="0"/>
        <w:contextualSpacing/>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rFonts w:hint="eastAsia"/>
          <w:i/>
          <w:iCs/>
          <w:lang w:val="en-US" w:eastAsia="zh-CN"/>
        </w:rPr>
        <w:t xml:space="preserve">: </w:t>
      </w:r>
      <w:r>
        <w:rPr>
          <w:rFonts w:hint="eastAsia"/>
          <w:b w:val="0"/>
          <w:bCs w:val="0"/>
          <w:i/>
          <w:iCs/>
          <w:lang w:val="en-US" w:eastAsia="zh-CN"/>
        </w:rPr>
        <w:t>Introduce a new FG 41-</w:t>
      </w:r>
      <w:r>
        <w:rPr>
          <w:b w:val="0"/>
          <w:bCs w:val="0"/>
          <w:i/>
          <w:iCs/>
          <w:lang w:val="en-US" w:eastAsia="zh-CN"/>
        </w:rPr>
        <w:t>1</w:t>
      </w:r>
      <w:r>
        <w:rPr>
          <w:rFonts w:hint="eastAsia"/>
          <w:b w:val="0"/>
          <w:bCs w:val="0"/>
          <w:i/>
          <w:iCs/>
          <w:lang w:val="en-US" w:eastAsia="zh-CN"/>
        </w:rPr>
        <w:t>-</w:t>
      </w:r>
      <w:r>
        <w:rPr>
          <w:b w:val="0"/>
          <w:bCs w:val="0"/>
          <w:i/>
          <w:iCs/>
          <w:lang w:val="en-US" w:eastAsia="zh-CN"/>
        </w:rPr>
        <w:t>5</w:t>
      </w:r>
      <w:r>
        <w:rPr>
          <w:rFonts w:hint="eastAsia"/>
          <w:b w:val="0"/>
          <w:bCs w:val="0"/>
          <w:i/>
          <w:iCs/>
          <w:lang w:val="en-US" w:eastAsia="zh-CN"/>
        </w:rPr>
        <w:t xml:space="preserve"> for</w:t>
      </w:r>
      <w:r>
        <w:rPr>
          <w:b w:val="0"/>
          <w:bCs w:val="0"/>
          <w:i/>
          <w:iCs/>
          <w:lang w:val="en-US" w:eastAsia="zh-CN"/>
        </w:rPr>
        <w:t xml:space="preserve"> SL Positioning congestion control</w:t>
      </w:r>
      <w:r>
        <w:rPr>
          <w:rFonts w:hint="eastAsia"/>
          <w:b w:val="0"/>
          <w:bCs w:val="0"/>
          <w:i/>
          <w:iCs/>
          <w:lang w:val="en-US" w:eastAsia="zh-CN"/>
        </w:rPr>
        <w:t>:</w:t>
      </w:r>
    </w:p>
    <w:p>
      <w:pPr>
        <w:pStyle w:val="94"/>
        <w:numPr>
          <w:ilvl w:val="0"/>
          <w:numId w:val="8"/>
        </w:numPr>
        <w:snapToGrid w:val="0"/>
        <w:spacing w:afterLines="50" w:line="240" w:lineRule="auto"/>
        <w:rPr>
          <w:i/>
          <w:sz w:val="20"/>
          <w:lang w:val="en-GB"/>
        </w:rPr>
      </w:pPr>
      <w:r>
        <w:rPr>
          <w:rFonts w:hint="eastAsia"/>
          <w:i/>
          <w:sz w:val="20"/>
          <w:lang w:val="en-GB" w:eastAsia="zh-CN"/>
        </w:rPr>
        <w:t>U</w:t>
      </w:r>
      <w:r>
        <w:rPr>
          <w:i/>
          <w:sz w:val="20"/>
          <w:lang w:val="en-GB" w:eastAsia="zh-CN"/>
        </w:rPr>
        <w:t>E can report SL PRS CBR measurement to gNB</w:t>
      </w:r>
    </w:p>
    <w:p>
      <w:pPr>
        <w:pStyle w:val="94"/>
        <w:numPr>
          <w:ilvl w:val="0"/>
          <w:numId w:val="8"/>
        </w:numPr>
        <w:snapToGrid w:val="0"/>
        <w:spacing w:afterLines="50" w:line="240" w:lineRule="auto"/>
        <w:rPr>
          <w:i/>
          <w:sz w:val="20"/>
          <w:lang w:val="en-GB"/>
        </w:rPr>
      </w:pPr>
      <w:r>
        <w:rPr>
          <w:rFonts w:hint="eastAsia" w:eastAsiaTheme="minorEastAsia"/>
          <w:i/>
          <w:sz w:val="20"/>
          <w:lang w:val="en-GB" w:eastAsia="zh-CN"/>
        </w:rPr>
        <w:t>U</w:t>
      </w:r>
      <w:r>
        <w:rPr>
          <w:rFonts w:eastAsiaTheme="minorEastAsia"/>
          <w:i/>
          <w:sz w:val="20"/>
          <w:lang w:val="en-GB" w:eastAsia="zh-CN"/>
        </w:rPr>
        <w:t>E can adjust its SL PRS transmission parameters based on SL PRS CBR measurement and SL PRS CRlimit</w:t>
      </w:r>
    </w:p>
    <w:p>
      <w:pPr>
        <w:pStyle w:val="94"/>
        <w:numPr>
          <w:ilvl w:val="0"/>
          <w:numId w:val="8"/>
        </w:numPr>
        <w:snapToGrid w:val="0"/>
        <w:spacing w:afterLines="50" w:line="240" w:lineRule="auto"/>
        <w:rPr>
          <w:i/>
          <w:sz w:val="20"/>
          <w:lang w:val="en-GB"/>
        </w:rPr>
      </w:pPr>
      <w:r>
        <w:rPr>
          <w:rFonts w:hint="eastAsia" w:eastAsiaTheme="minorEastAsia"/>
          <w:i/>
          <w:sz w:val="20"/>
          <w:lang w:val="en-GB" w:eastAsia="zh-CN"/>
        </w:rPr>
        <w:t>U</w:t>
      </w:r>
      <w:r>
        <w:rPr>
          <w:rFonts w:eastAsiaTheme="minorEastAsia"/>
          <w:i/>
          <w:sz w:val="20"/>
          <w:lang w:val="en-GB" w:eastAsia="zh-CN"/>
        </w:rPr>
        <w:t>E can process CBR and CR within the time</w:t>
      </w:r>
    </w:p>
    <w:p>
      <w:pPr>
        <w:snapToGrid w:val="0"/>
        <w:spacing w:after="180" w:afterLines="50" w:line="240" w:lineRule="auto"/>
        <w:contextualSpacing/>
        <w:rPr>
          <w:rFonts w:hint="eastAsia" w:ascii="Times New Roman" w:hAnsi="Times New Roman"/>
          <w:sz w:val="20"/>
          <w:lang w:val="en-GB"/>
        </w:rPr>
      </w:pPr>
    </w:p>
    <w:p>
      <w:pPr>
        <w:pStyle w:val="15"/>
        <w:snapToGrid w:val="0"/>
        <w:contextualSpacing/>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rFonts w:hint="eastAsia"/>
          <w:i/>
          <w:iCs/>
          <w:lang w:val="en-US" w:eastAsia="zh-CN"/>
        </w:rPr>
        <w:t xml:space="preserve">: </w:t>
      </w:r>
      <w:r>
        <w:rPr>
          <w:rFonts w:hint="eastAsia"/>
          <w:b w:val="0"/>
          <w:bCs w:val="0"/>
          <w:i/>
          <w:iCs/>
          <w:lang w:val="en-US" w:eastAsia="zh-CN"/>
        </w:rPr>
        <w:t>Introduce a new FG 41-</w:t>
      </w:r>
      <w:r>
        <w:rPr>
          <w:b w:val="0"/>
          <w:bCs w:val="0"/>
          <w:i/>
          <w:iCs/>
          <w:lang w:val="en-US" w:eastAsia="zh-CN"/>
        </w:rPr>
        <w:t>1</w:t>
      </w:r>
      <w:r>
        <w:rPr>
          <w:rFonts w:hint="eastAsia"/>
          <w:b w:val="0"/>
          <w:bCs w:val="0"/>
          <w:i/>
          <w:iCs/>
          <w:lang w:val="en-US" w:eastAsia="zh-CN"/>
        </w:rPr>
        <w:t>-</w:t>
      </w:r>
      <w:r>
        <w:rPr>
          <w:b w:val="0"/>
          <w:bCs w:val="0"/>
          <w:i/>
          <w:iCs/>
          <w:lang w:val="en-US" w:eastAsia="zh-CN"/>
        </w:rPr>
        <w:t>6</w:t>
      </w:r>
      <w:r>
        <w:rPr>
          <w:rFonts w:hint="eastAsia"/>
          <w:b w:val="0"/>
          <w:bCs w:val="0"/>
          <w:i/>
          <w:iCs/>
          <w:lang w:val="en-US" w:eastAsia="zh-CN"/>
        </w:rPr>
        <w:t xml:space="preserve"> for</w:t>
      </w:r>
      <w:r>
        <w:rPr>
          <w:b w:val="0"/>
          <w:bCs w:val="0"/>
          <w:i/>
          <w:iCs/>
          <w:lang w:val="en-US" w:eastAsia="zh-CN"/>
        </w:rPr>
        <w:t xml:space="preserve"> open loop power control and RSRP report</w:t>
      </w:r>
      <w:r>
        <w:rPr>
          <w:rFonts w:hint="eastAsia"/>
          <w:b w:val="0"/>
          <w:bCs w:val="0"/>
          <w:i/>
          <w:iCs/>
          <w:lang w:val="en-US" w:eastAsia="zh-CN"/>
        </w:rPr>
        <w:t>:</w:t>
      </w:r>
    </w:p>
    <w:p>
      <w:pPr>
        <w:pStyle w:val="94"/>
        <w:numPr>
          <w:ilvl w:val="0"/>
          <w:numId w:val="9"/>
        </w:numPr>
        <w:snapToGrid w:val="0"/>
        <w:spacing w:afterLines="50" w:line="240" w:lineRule="auto"/>
        <w:rPr>
          <w:i/>
          <w:sz w:val="20"/>
        </w:rPr>
      </w:pPr>
      <w:r>
        <w:rPr>
          <w:i/>
          <w:sz w:val="20"/>
        </w:rPr>
        <w:t>Support sidelink pathloss based open loop power control and RSRP report in case of unicast</w:t>
      </w:r>
    </w:p>
    <w:p>
      <w:pPr>
        <w:pStyle w:val="94"/>
        <w:numPr>
          <w:ilvl w:val="1"/>
          <w:numId w:val="9"/>
        </w:numPr>
        <w:snapToGrid w:val="0"/>
        <w:spacing w:afterLines="50" w:line="240" w:lineRule="auto"/>
        <w:rPr>
          <w:i/>
          <w:sz w:val="20"/>
        </w:rPr>
      </w:pPr>
      <w:r>
        <w:rPr>
          <w:i/>
          <w:sz w:val="20"/>
          <w:lang w:eastAsia="zh-CN"/>
        </w:rPr>
        <w:t>Sidelink pathloss can be calculated based on SL PRS</w:t>
      </w:r>
    </w:p>
    <w:p>
      <w:pPr>
        <w:snapToGrid w:val="0"/>
        <w:spacing w:after="180" w:afterLines="50" w:line="240" w:lineRule="auto"/>
        <w:rPr>
          <w:rFonts w:ascii="Times New Roman" w:hAnsi="Times New Roman"/>
          <w:sz w:val="20"/>
        </w:rPr>
      </w:pPr>
    </w:p>
    <w:p>
      <w:pPr>
        <w:snapToGrid w:val="0"/>
        <w:spacing w:after="180" w:afterLines="50" w:line="240" w:lineRule="auto"/>
        <w:rPr>
          <w:rFonts w:hint="eastAsia" w:ascii="Times New Roman" w:hAnsi="Times New Roman"/>
          <w:sz w:val="20"/>
        </w:rPr>
      </w:pPr>
    </w:p>
    <w:p>
      <w:pPr>
        <w:snapToGrid w:val="0"/>
        <w:spacing w:after="180" w:afterLines="50" w:line="240" w:lineRule="auto"/>
        <w:rPr>
          <w:rFonts w:ascii="Times New Roman" w:hAnsi="Times New Roman"/>
          <w:sz w:val="20"/>
        </w:rPr>
      </w:pPr>
    </w:p>
    <w:p>
      <w:pPr>
        <w:snapToGrid w:val="0"/>
        <w:spacing w:after="180" w:afterLines="50" w:line="240" w:lineRule="auto"/>
        <w:rPr>
          <w:rFonts w:ascii="Times New Roman" w:hAnsi="Times New Roman"/>
          <w:sz w:val="20"/>
        </w:rPr>
      </w:pPr>
    </w:p>
    <w:p>
      <w:pPr>
        <w:snapToGrid w:val="0"/>
        <w:spacing w:after="180" w:afterLines="50" w:line="240" w:lineRule="auto"/>
        <w:rPr>
          <w:rFonts w:ascii="Times New Roman" w:hAnsi="Times New Roman"/>
          <w:sz w:val="20"/>
        </w:rPr>
      </w:pPr>
    </w:p>
    <w:p>
      <w:pPr>
        <w:snapToGrid w:val="0"/>
        <w:spacing w:after="180" w:afterLines="50" w:line="240" w:lineRule="auto"/>
        <w:rPr>
          <w:rFonts w:ascii="Times New Roman" w:hAnsi="Times New Roman"/>
          <w:sz w:val="20"/>
        </w:rPr>
      </w:pPr>
    </w:p>
    <w:p>
      <w:pPr>
        <w:snapToGrid w:val="0"/>
        <w:spacing w:after="180" w:afterLines="50" w:line="240" w:lineRule="auto"/>
        <w:rPr>
          <w:rFonts w:hint="eastAsia" w:ascii="Times New Roman" w:hAnsi="Times New Roman"/>
          <w:sz w:val="20"/>
        </w:rPr>
      </w:pPr>
    </w:p>
    <w:tbl>
      <w:tblPr>
        <w:tblStyle w:val="27"/>
        <w:tblW w:w="22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695"/>
        <w:gridCol w:w="4462"/>
        <w:gridCol w:w="1320"/>
        <w:gridCol w:w="1283"/>
        <w:gridCol w:w="1131"/>
        <w:gridCol w:w="1636"/>
        <w:gridCol w:w="2048"/>
        <w:gridCol w:w="1497"/>
        <w:gridCol w:w="1462"/>
        <w:gridCol w:w="1111"/>
        <w:gridCol w:w="223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rPr>
                <w:rFonts w:ascii="Arial" w:hAnsi="Arial" w:cs="Arial"/>
                <w:b/>
                <w:lang w:val="en-GB" w:eastAsia="ja-JP"/>
              </w:rPr>
            </w:pPr>
            <w:r>
              <w:rPr>
                <w:rFonts w:ascii="Arial" w:hAnsi="Arial" w:cs="Arial"/>
                <w:b/>
                <w:sz w:val="18"/>
                <w:lang w:val="en-GB" w:eastAsia="ja-JP"/>
              </w:rPr>
              <w:t>Index</w:t>
            </w:r>
          </w:p>
        </w:tc>
        <w:tc>
          <w:tcPr>
            <w:tcW w:w="16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Feature group</w:t>
            </w:r>
          </w:p>
        </w:tc>
        <w:tc>
          <w:tcPr>
            <w:tcW w:w="4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Components</w:t>
            </w:r>
          </w:p>
        </w:tc>
        <w:tc>
          <w:tcPr>
            <w:tcW w:w="13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Prerequisite feature groups</w:t>
            </w:r>
          </w:p>
        </w:tc>
        <w:tc>
          <w:tcPr>
            <w:tcW w:w="12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for the gNB to know if the feature is supported</w:t>
            </w:r>
          </w:p>
        </w:tc>
        <w:tc>
          <w:tcPr>
            <w:tcW w:w="11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Gulim" w:cs="Arial"/>
                <w:b/>
                <w:color w:val="000000"/>
                <w:sz w:val="18"/>
                <w:szCs w:val="18"/>
                <w:lang w:val="en-GB" w:eastAsia="ja-JP"/>
              </w:rPr>
              <w:t xml:space="preserve">Applicable to </w:t>
            </w:r>
            <w:r>
              <w:rPr>
                <w:rFonts w:ascii="Arial" w:hAnsi="Arial" w:eastAsia="Times New Roman" w:cs="Arial"/>
                <w:b/>
                <w:color w:val="000000"/>
                <w:sz w:val="18"/>
                <w:szCs w:val="18"/>
                <w:lang w:val="en-GB" w:eastAsia="ja-JP"/>
              </w:rPr>
              <w:t>the capability signalling exchange between UEs (Sidelink WI only)”.</w:t>
            </w:r>
          </w:p>
        </w:tc>
        <w:tc>
          <w:tcPr>
            <w:tcW w:w="1636"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Consequence if the feature is not supported by the UE</w:t>
            </w:r>
          </w:p>
        </w:tc>
        <w:tc>
          <w:tcPr>
            <w:tcW w:w="2048"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Type</w:t>
            </w:r>
          </w:p>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(the ‘type’ definition from UE features should be based on the granularity of 1) Per UE or 2) Per Band or 3) Per BC or 4) Per FS or 5) Per FSPC)</w:t>
            </w:r>
          </w:p>
        </w:tc>
        <w:tc>
          <w:tcPr>
            <w:tcW w:w="1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FDD/TDD differentiation</w:t>
            </w:r>
          </w:p>
        </w:tc>
        <w:tc>
          <w:tcPr>
            <w:tcW w:w="1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FR1/FR2 differentiation</w:t>
            </w:r>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Capability interpretation for mixture of FDD/TDD and/or FR1/FR2</w:t>
            </w:r>
          </w:p>
        </w:tc>
        <w:tc>
          <w:tcPr>
            <w:tcW w:w="22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Note</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snapToGrid w:val="0"/>
              <w:spacing w:after="180" w:afterLines="50" w:line="240" w:lineRule="auto"/>
              <w:rPr>
                <w:rFonts w:ascii="Times New Roman" w:hAnsi="Times New Roman"/>
                <w:sz w:val="18"/>
                <w:szCs w:val="18"/>
              </w:rPr>
            </w:pPr>
            <w:r>
              <w:rPr>
                <w:rFonts w:ascii="Times New Roman" w:hAnsi="Times New Roman"/>
                <w:sz w:val="18"/>
                <w:szCs w:val="18"/>
              </w:rPr>
              <w:t>41-1-1</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after="180" w:afterLines="50" w:line="240" w:lineRule="auto"/>
              <w:rPr>
                <w:rFonts w:ascii="Times New Roman" w:hAnsi="Times New Roman"/>
                <w:szCs w:val="18"/>
              </w:rPr>
            </w:pPr>
            <w:r>
              <w:rPr>
                <w:rFonts w:ascii="Times New Roman" w:hAnsi="Times New Roman"/>
                <w:szCs w:val="18"/>
              </w:rPr>
              <w:t>SL PRS reception and processing</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after="180" w:afterLines="50" w:line="240" w:lineRule="auto"/>
              <w:ind w:left="180" w:hanging="180"/>
              <w:contextualSpacing/>
              <w:rPr>
                <w:rFonts w:ascii="Times New Roman" w:hAnsi="Times New Roman"/>
                <w:szCs w:val="18"/>
              </w:rPr>
            </w:pPr>
            <w:r>
              <w:rPr>
                <w:rFonts w:ascii="Times New Roman" w:hAnsi="Times New Roman"/>
                <w:color w:val="000000" w:themeColor="text1"/>
                <w:szCs w:val="18"/>
                <w14:textFill>
                  <w14:solidFill>
                    <w14:schemeClr w14:val="tx1"/>
                  </w14:solidFill>
                </w14:textFill>
              </w:rPr>
              <w:t>1.</w:t>
            </w:r>
            <w:r>
              <w:rPr>
                <w:rFonts w:ascii="Times New Roman" w:hAnsi="Times New Roman"/>
                <w:szCs w:val="18"/>
              </w:rPr>
              <w:t xml:space="preserve"> Maximum SL PRS bandwidth in MHz, which is supported and reported by UE,</w:t>
            </w:r>
          </w:p>
          <w:p>
            <w:pPr>
              <w:pStyle w:val="62"/>
              <w:snapToGrid w:val="0"/>
              <w:spacing w:after="180" w:afterLines="50" w:line="240" w:lineRule="auto"/>
              <w:ind w:left="180" w:hanging="180"/>
              <w:contextualSpacing/>
              <w:rPr>
                <w:rFonts w:hint="eastAsia" w:ascii="Times New Roman" w:hAnsi="Times New Roman"/>
                <w:szCs w:val="18"/>
              </w:rPr>
            </w:pPr>
            <w:r>
              <w:rPr>
                <w:rFonts w:ascii="Times New Roman" w:hAnsi="Times New Roman"/>
                <w:szCs w:val="18"/>
              </w:rPr>
              <w:t>a) FR1 bands: {5, 10, 20, 40, 50, 80</w:t>
            </w:r>
            <w:r>
              <w:rPr>
                <w:rFonts w:hint="eastAsia" w:ascii="Times New Roman" w:hAnsi="Times New Roman"/>
                <w:szCs w:val="18"/>
                <w:lang w:val="en-US" w:eastAsia="zh-CN"/>
              </w:rPr>
              <w:t>, 100</w:t>
            </w:r>
            <w:bookmarkStart w:id="9" w:name="_GoBack"/>
            <w:bookmarkEnd w:id="9"/>
            <w:r>
              <w:rPr>
                <w:rFonts w:ascii="Times New Roman" w:hAnsi="Times New Roman"/>
                <w:szCs w:val="18"/>
              </w:rPr>
              <w:t>}</w:t>
            </w:r>
          </w:p>
          <w:p>
            <w:pPr>
              <w:pStyle w:val="2"/>
              <w:numPr>
                <w:ilvl w:val="0"/>
                <w:numId w:val="0"/>
              </w:numPr>
              <w:snapToGrid w:val="0"/>
              <w:spacing w:after="180" w:afterLines="50"/>
              <w:ind w:left="180" w:hanging="180"/>
              <w:contextualSpacing/>
              <w:rPr>
                <w:rFonts w:ascii="Times New Roman" w:hAnsi="Times New Roman"/>
                <w:b w:val="0"/>
                <w:sz w:val="18"/>
                <w:szCs w:val="18"/>
                <w:lang w:val="en-US"/>
              </w:rPr>
            </w:pPr>
            <w:r>
              <w:rPr>
                <w:rFonts w:ascii="Times New Roman" w:hAnsi="Times New Roman"/>
                <w:b w:val="0"/>
                <w:sz w:val="18"/>
                <w:szCs w:val="18"/>
                <w:lang w:val="en-US"/>
              </w:rPr>
              <w:t>2. Support SCS values for SL PRS</w:t>
            </w:r>
          </w:p>
          <w:p>
            <w:pPr>
              <w:snapToGrid w:val="0"/>
              <w:spacing w:after="180" w:afterLines="50" w:line="240" w:lineRule="auto"/>
              <w:contextualSpacing/>
              <w:rPr>
                <w:rFonts w:ascii="Times New Roman" w:hAnsi="Times New Roman"/>
                <w:sz w:val="18"/>
                <w:szCs w:val="18"/>
              </w:rPr>
            </w:pPr>
            <w:r>
              <w:rPr>
                <w:rFonts w:hint="eastAsia" w:ascii="Times New Roman" w:hAnsi="Times New Roman"/>
                <w:sz w:val="18"/>
                <w:szCs w:val="18"/>
              </w:rPr>
              <w:t>a</w:t>
            </w:r>
            <w:r>
              <w:rPr>
                <w:rFonts w:ascii="Times New Roman" w:hAnsi="Times New Roman"/>
                <w:sz w:val="18"/>
                <w:szCs w:val="18"/>
              </w:rPr>
              <w:t>) FR1: 15 kHz, 30 kHz, 60 kHz</w:t>
            </w:r>
          </w:p>
          <w:p>
            <w:pPr>
              <w:snapToGrid w:val="0"/>
              <w:spacing w:after="180" w:afterLines="50" w:line="240" w:lineRule="auto"/>
              <w:contextualSpacing/>
              <w:rPr>
                <w:rFonts w:hint="eastAsia" w:ascii="Times New Roman" w:hAnsi="Times New Roman"/>
                <w:sz w:val="18"/>
                <w:szCs w:val="18"/>
              </w:rPr>
            </w:pPr>
            <w:r>
              <w:rPr>
                <w:rFonts w:hint="eastAsia" w:ascii="Times New Roman" w:hAnsi="Times New Roman"/>
                <w:sz w:val="18"/>
                <w:szCs w:val="18"/>
              </w:rPr>
              <w:t>b</w:t>
            </w:r>
            <w:r>
              <w:rPr>
                <w:rFonts w:ascii="Times New Roman" w:hAnsi="Times New Roman"/>
                <w:sz w:val="18"/>
                <w:szCs w:val="18"/>
              </w:rPr>
              <w:t>) FR2: 60 kHz, 120 kHz</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strike/>
                <w:color w:val="000000" w:themeColor="text1"/>
                <w:szCs w:val="18"/>
                <w:highlight w:val="yellow"/>
                <w14:textFill>
                  <w14:solidFill>
                    <w14:schemeClr w14:val="tx1"/>
                  </w14:solidFill>
                </w14:textFill>
              </w:rPr>
            </w:pP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szCs w:val="18"/>
              </w:rPr>
              <w:t>SL PRS reception and processing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eastAsia="宋体"/>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Per UE</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sz w:val="18"/>
                <w:szCs w:val="18"/>
              </w:rPr>
            </w:pPr>
            <w:r>
              <w:rPr>
                <w:rFonts w:ascii="Times New Roman" w:hAnsi="Times New Roman"/>
                <w:sz w:val="18"/>
                <w:szCs w:val="18"/>
              </w:rPr>
              <w:t>Need for location server to know if the feature is supported.</w:t>
            </w:r>
          </w:p>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snapToGrid w:val="0"/>
              <w:spacing w:after="180" w:afterLines="50" w:line="240" w:lineRule="auto"/>
              <w:rPr>
                <w:rFonts w:ascii="Times New Roman" w:hAnsi="Times New Roman"/>
                <w:sz w:val="18"/>
                <w:szCs w:val="18"/>
              </w:rPr>
            </w:pPr>
            <w:r>
              <w:rPr>
                <w:rFonts w:ascii="Times New Roman" w:hAnsi="Times New Roman"/>
                <w:sz w:val="18"/>
                <w:szCs w:val="18"/>
              </w:rPr>
              <w:t>41-1-2</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after="180" w:afterLines="50" w:line="240" w:lineRule="auto"/>
              <w:rPr>
                <w:rFonts w:ascii="Times New Roman" w:hAnsi="Times New Roman"/>
                <w:szCs w:val="18"/>
              </w:rPr>
            </w:pPr>
            <w:r>
              <w:rPr>
                <w:rFonts w:ascii="Times New Roman" w:hAnsi="Times New Roman"/>
                <w:szCs w:val="18"/>
              </w:rPr>
              <w:t>SL PRS measurement report</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after="180" w:afterLines="50" w:line="240" w:lineRule="auto"/>
              <w:ind w:left="180" w:hanging="180" w:hangingChars="100"/>
              <w:contextualSpacing/>
              <w:rPr>
                <w:rFonts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1</w:t>
            </w:r>
            <w:r>
              <w:rPr>
                <w:rFonts w:ascii="Times New Roman" w:hAnsi="Times New Roman"/>
                <w:color w:val="000000" w:themeColor="text1"/>
                <w:szCs w:val="18"/>
                <w14:textFill>
                  <w14:solidFill>
                    <w14:schemeClr w14:val="tx1"/>
                  </w14:solidFill>
                </w14:textFill>
              </w:rPr>
              <w:t>. Support of SL PRS measurement report for SL-TDOA</w:t>
            </w:r>
          </w:p>
          <w:p>
            <w:pPr>
              <w:pStyle w:val="62"/>
              <w:numPr>
                <w:ilvl w:val="0"/>
                <w:numId w:val="10"/>
              </w:numPr>
              <w:snapToGrid w:val="0"/>
              <w:spacing w:after="180" w:afterLines="50" w:line="240" w:lineRule="auto"/>
              <w:contextualSpacing/>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Maximum number of SL PRS RTOA per pair of UEs. Values = {1, 2, 3, 4}</w:t>
            </w:r>
          </w:p>
          <w:p>
            <w:pPr>
              <w:pStyle w:val="62"/>
              <w:numPr>
                <w:ilvl w:val="0"/>
                <w:numId w:val="10"/>
              </w:numPr>
              <w:snapToGrid w:val="0"/>
              <w:spacing w:after="180" w:afterLines="50" w:line="240" w:lineRule="auto"/>
              <w:contextualSpacing/>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Maximum number of SL PRS RSTD per pair of UEs. Values = {1, 2, 3, 4}</w:t>
            </w:r>
          </w:p>
          <w:p>
            <w:pPr>
              <w:pStyle w:val="62"/>
              <w:snapToGrid w:val="0"/>
              <w:spacing w:after="180" w:afterLines="50" w:line="240" w:lineRule="auto"/>
              <w:contextualSpacing/>
              <w:rPr>
                <w:rFonts w:hint="eastAsia" w:ascii="Times New Roman" w:hAnsi="Times New Roman"/>
                <w:color w:val="000000" w:themeColor="text1"/>
                <w:szCs w:val="18"/>
                <w14:textFill>
                  <w14:solidFill>
                    <w14:schemeClr w14:val="tx1"/>
                  </w14:solidFill>
                </w14:textFill>
              </w:rPr>
            </w:pPr>
          </w:p>
          <w:p>
            <w:pPr>
              <w:pStyle w:val="62"/>
              <w:snapToGrid w:val="0"/>
              <w:spacing w:after="180" w:afterLines="50" w:line="240" w:lineRule="auto"/>
              <w:contextualSpacing/>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2.Support of SL PRS measurement report for SL RTT</w:t>
            </w:r>
          </w:p>
          <w:p>
            <w:pPr>
              <w:pStyle w:val="62"/>
              <w:numPr>
                <w:ilvl w:val="0"/>
                <w:numId w:val="11"/>
              </w:numPr>
              <w:snapToGrid w:val="0"/>
              <w:spacing w:after="180" w:afterLines="50" w:line="240" w:lineRule="auto"/>
              <w:contextualSpacing/>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Max number of UE Rx–Tx time difference measurements corresponding to a single SL PRS resource with each measurement corresponding to a single SL PRS resource from another UE. Value for component 1: {1,2,3,4}</w:t>
            </w:r>
          </w:p>
          <w:p>
            <w:pPr>
              <w:pStyle w:val="62"/>
              <w:snapToGrid w:val="0"/>
              <w:spacing w:after="180" w:afterLines="50" w:line="240" w:lineRule="auto"/>
              <w:ind w:left="180" w:hanging="180" w:hangingChars="100"/>
              <w:contextualSpacing/>
              <w:rPr>
                <w:rFonts w:hint="eastAsia" w:ascii="Times New Roman" w:hAnsi="Times New Roman"/>
                <w:color w:val="000000" w:themeColor="text1"/>
                <w:szCs w:val="18"/>
                <w14:textFill>
                  <w14:solidFill>
                    <w14:schemeClr w14:val="tx1"/>
                  </w14:solidFill>
                </w14:textFill>
              </w:rPr>
            </w:pPr>
          </w:p>
          <w:p>
            <w:pPr>
              <w:pStyle w:val="62"/>
              <w:snapToGrid w:val="0"/>
              <w:spacing w:after="180" w:afterLines="50" w:line="240" w:lineRule="auto"/>
              <w:ind w:left="180" w:hanging="180" w:hangingChars="100"/>
              <w:contextualSpacing/>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3. Support of SL PRS measurement report for SL AoA</w:t>
            </w:r>
          </w:p>
          <w:p>
            <w:pPr>
              <w:pStyle w:val="62"/>
              <w:numPr>
                <w:ilvl w:val="0"/>
                <w:numId w:val="11"/>
              </w:numPr>
              <w:snapToGrid w:val="0"/>
              <w:spacing w:after="180" w:afterLines="50" w:line="240" w:lineRule="auto"/>
              <w:contextualSpacing/>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Max number of SL AoA measurements on different SL PRS resources from the same UE supported by the UE. Values = {1, 2, 3, 4}</w:t>
            </w:r>
          </w:p>
          <w:p>
            <w:pPr>
              <w:pStyle w:val="62"/>
              <w:snapToGrid w:val="0"/>
              <w:spacing w:after="180" w:afterLines="50" w:line="240" w:lineRule="auto"/>
              <w:ind w:left="180" w:hanging="180" w:hangingChars="100"/>
              <w:contextualSpacing/>
              <w:rPr>
                <w:rFonts w:hint="eastAsia" w:ascii="Times New Roman" w:hAnsi="Times New Roman"/>
                <w:color w:val="000000" w:themeColor="text1"/>
                <w:szCs w:val="18"/>
                <w14:textFill>
                  <w14:solidFill>
                    <w14:schemeClr w14:val="tx1"/>
                  </w14:solidFill>
                </w14:textFill>
              </w:rPr>
            </w:pPr>
          </w:p>
          <w:p>
            <w:pPr>
              <w:pStyle w:val="62"/>
              <w:snapToGrid w:val="0"/>
              <w:spacing w:after="180" w:afterLines="50" w:line="240" w:lineRule="auto"/>
              <w:contextualSpacing/>
              <w:rPr>
                <w:rFonts w:hint="eastAsia"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 Support of SL PRS RSRP and SL PRS RSRPP measurement</w:t>
            </w:r>
          </w:p>
          <w:p>
            <w:pPr>
              <w:pStyle w:val="62"/>
              <w:numPr>
                <w:ilvl w:val="0"/>
                <w:numId w:val="12"/>
              </w:numPr>
              <w:snapToGrid w:val="0"/>
              <w:spacing w:after="180" w:afterLines="50" w:line="240" w:lineRule="auto"/>
              <w:contextualSpacing/>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Max number of SL PRS RSRP measurements on different SL PRS resources from the same UE supported by the UE. Values = {1, 2, 3, 4, 5, 6, 7, 8}</w:t>
            </w:r>
          </w:p>
          <w:p>
            <w:pPr>
              <w:pStyle w:val="62"/>
              <w:numPr>
                <w:ilvl w:val="0"/>
                <w:numId w:val="12"/>
              </w:numPr>
              <w:snapToGrid w:val="0"/>
              <w:spacing w:after="180" w:afterLines="50" w:line="240" w:lineRule="auto"/>
              <w:contextualSpacing/>
              <w:rPr>
                <w:rFonts w:hint="eastAsia"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Max number of SL PRS RSRPP measurements on different SL PRS resources from the same UE supported by the UE. Values = {1, 2, 3, 4, 5, 6, 7, 8}</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000000" w:themeColor="text1"/>
                <w:szCs w:val="18"/>
                <w14:textFill>
                  <w14:solidFill>
                    <w14:schemeClr w14:val="tx1"/>
                  </w14:solidFill>
                </w14:textFill>
              </w:rPr>
              <w:t>Y</w:t>
            </w:r>
            <w:r>
              <w:rPr>
                <w:rFonts w:ascii="Times New Roman" w:hAnsi="Times New Roman" w:eastAsia="宋体"/>
                <w:color w:val="000000" w:themeColor="text1"/>
                <w:szCs w:val="18"/>
                <w14:textFill>
                  <w14:solidFill>
                    <w14:schemeClr w14:val="tx1"/>
                  </w14:solidFill>
                </w14:textFill>
              </w:rPr>
              <w:t>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SL PRS measurement report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P</w:t>
            </w:r>
            <w:r>
              <w:rPr>
                <w:rFonts w:ascii="Times New Roman" w:hAnsi="Times New Roman"/>
                <w:color w:val="000000" w:themeColor="text1"/>
                <w:szCs w:val="18"/>
                <w14:textFill>
                  <w14:solidFill>
                    <w14:schemeClr w14:val="tx1"/>
                  </w14:solidFill>
                </w14:textFill>
              </w:rPr>
              <w:t>er UE</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sz w:val="18"/>
                <w:szCs w:val="18"/>
              </w:rPr>
            </w:pPr>
            <w:r>
              <w:rPr>
                <w:rFonts w:ascii="Times New Roman" w:hAnsi="Times New Roman"/>
                <w:sz w:val="18"/>
                <w:szCs w:val="18"/>
              </w:rPr>
              <w:t>Need for location server to know if the feature is supported.</w:t>
            </w:r>
          </w:p>
          <w:p>
            <w:pPr>
              <w:autoSpaceDE w:val="0"/>
              <w:autoSpaceDN w:val="0"/>
              <w:adjustRightInd w:val="0"/>
              <w:snapToGrid w:val="0"/>
              <w:spacing w:after="180" w:afterLines="50" w:line="240" w:lineRule="auto"/>
              <w:contextualSpacing/>
              <w:rPr>
                <w:rFonts w:ascii="Times New Roman" w:hAnsi="Times New Roman"/>
                <w:sz w:val="18"/>
                <w:szCs w:val="18"/>
              </w:rPr>
            </w:pPr>
          </w:p>
        </w:tc>
        <w:tc>
          <w:tcPr>
            <w:tcW w:w="1418" w:type="dxa"/>
            <w:tcBorders>
              <w:top w:val="single" w:color="auto" w:sz="4" w:space="0"/>
              <w:left w:val="single" w:color="auto" w:sz="4" w:space="0"/>
              <w:bottom w:val="single" w:color="auto" w:sz="4" w:space="0"/>
              <w:right w:val="single" w:color="auto" w:sz="4" w:space="0"/>
            </w:tcBorders>
          </w:tcPr>
          <w:p>
            <w:pPr>
              <w:snapToGrid w:val="0"/>
              <w:spacing w:after="0" w:line="240" w:lineRule="auto"/>
              <w:rPr>
                <w:sz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snapToGrid w:val="0"/>
              <w:spacing w:after="180" w:afterLines="50" w:line="240" w:lineRule="auto"/>
              <w:rPr>
                <w:rFonts w:ascii="Times New Roman" w:hAnsi="Times New Roman"/>
                <w:sz w:val="18"/>
                <w:szCs w:val="18"/>
              </w:rPr>
            </w:pPr>
            <w:r>
              <w:rPr>
                <w:rFonts w:ascii="Times New Roman" w:hAnsi="Times New Roman"/>
                <w:sz w:val="18"/>
                <w:szCs w:val="18"/>
              </w:rPr>
              <w:t>41-1-3</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after="180" w:afterLines="50" w:line="240" w:lineRule="auto"/>
              <w:rPr>
                <w:rFonts w:ascii="Times New Roman" w:hAnsi="Times New Roman"/>
                <w:szCs w:val="18"/>
              </w:rPr>
            </w:pPr>
            <w:r>
              <w:rPr>
                <w:rFonts w:ascii="Times New Roman" w:hAnsi="Times New Roman"/>
                <w:szCs w:val="18"/>
              </w:rPr>
              <w:t>SL PRS transmission in resource allocation scheme 1</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after="180" w:afterLines="50" w:line="240" w:lineRule="auto"/>
              <w:ind w:left="180" w:hanging="180" w:hangingChars="100"/>
              <w:rPr>
                <w:rFonts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1</w:t>
            </w:r>
            <w:r>
              <w:rPr>
                <w:rFonts w:ascii="Times New Roman" w:hAnsi="Times New Roman"/>
                <w:color w:val="000000" w:themeColor="text1"/>
                <w:szCs w:val="18"/>
                <w14:textFill>
                  <w14:solidFill>
                    <w14:schemeClr w14:val="tx1"/>
                  </w14:solidFill>
                </w14:textFill>
              </w:rPr>
              <w:t>. UE can transmit SL PRS/PSCCH using dynamic scheduling or configured grant type 1 and 2 in scheme 1 SL PRS resource allocation scheduled by NR Uu.</w:t>
            </w:r>
          </w:p>
          <w:p>
            <w:pPr>
              <w:pStyle w:val="62"/>
              <w:snapToGrid w:val="0"/>
              <w:spacing w:after="180" w:afterLines="50" w:line="240" w:lineRule="auto"/>
              <w:ind w:left="180" w:hanging="180" w:hangingChars="100"/>
              <w:rPr>
                <w:rFonts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2</w:t>
            </w:r>
            <w:r>
              <w:rPr>
                <w:rFonts w:ascii="Times New Roman" w:hAnsi="Times New Roman"/>
                <w:color w:val="000000" w:themeColor="text1"/>
                <w:szCs w:val="18"/>
                <w14:textFill>
                  <w14:solidFill>
                    <w14:schemeClr w14:val="tx1"/>
                  </w14:solidFill>
                </w14:textFill>
              </w:rPr>
              <w:t>. UE can monitor DCI format X for SL PRS dynamic scheduling and configured grant type 2</w:t>
            </w:r>
          </w:p>
          <w:p>
            <w:pPr>
              <w:pStyle w:val="62"/>
              <w:snapToGrid w:val="0"/>
              <w:spacing w:after="180" w:afterLines="50" w:line="240" w:lineRule="auto"/>
              <w:ind w:left="180" w:hanging="180" w:hangingChars="100"/>
              <w:rPr>
                <w:rFonts w:hint="eastAsia"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3</w:t>
            </w:r>
            <w:r>
              <w:rPr>
                <w:rFonts w:ascii="Times New Roman" w:hAnsi="Times New Roman"/>
                <w:color w:val="000000" w:themeColor="text1"/>
                <w:szCs w:val="18"/>
                <w14:textFill>
                  <w14:solidFill>
                    <w14:schemeClr w14:val="tx1"/>
                  </w14:solidFill>
                </w14:textFill>
              </w:rPr>
              <w:t>. Support downlink pathloss power control</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000000" w:themeColor="text1"/>
                <w:szCs w:val="18"/>
                <w14:textFill>
                  <w14:solidFill>
                    <w14:schemeClr w14:val="tx1"/>
                  </w14:solidFill>
                </w14:textFill>
              </w:rPr>
              <w:t>Y</w:t>
            </w:r>
            <w:r>
              <w:rPr>
                <w:rFonts w:ascii="Times New Roman" w:hAnsi="Times New Roman" w:eastAsia="宋体"/>
                <w:color w:val="000000" w:themeColor="text1"/>
                <w:szCs w:val="18"/>
                <w14:textFill>
                  <w14:solidFill>
                    <w14:schemeClr w14:val="tx1"/>
                  </w14:solidFill>
                </w14:textFill>
              </w:rPr>
              <w:t>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szCs w:val="18"/>
              </w:rPr>
              <w:t>SL PRS transmission in resource allocation scheme 1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80" w:afterLines="50" w:line="240" w:lineRule="auto"/>
              <w:contextualSpacing/>
              <w:rPr>
                <w:rFonts w:ascii="Times New Roman" w:hAnsi="Times New Roman"/>
                <w:sz w:val="18"/>
                <w:szCs w:val="18"/>
              </w:rPr>
            </w:pPr>
          </w:p>
        </w:tc>
        <w:tc>
          <w:tcPr>
            <w:tcW w:w="1418" w:type="dxa"/>
            <w:tcBorders>
              <w:top w:val="single" w:color="auto" w:sz="4" w:space="0"/>
              <w:left w:val="single" w:color="auto" w:sz="4" w:space="0"/>
              <w:bottom w:val="single" w:color="auto" w:sz="4" w:space="0"/>
              <w:right w:val="single" w:color="auto" w:sz="4" w:space="0"/>
            </w:tcBorders>
          </w:tcPr>
          <w:p>
            <w:pPr>
              <w:snapToGrid w:val="0"/>
              <w:spacing w:after="0" w:line="240" w:lineRule="auto"/>
              <w:rPr>
                <w:sz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snapToGrid w:val="0"/>
              <w:spacing w:after="180" w:afterLines="50" w:line="240" w:lineRule="auto"/>
              <w:rPr>
                <w:rFonts w:ascii="Times New Roman" w:hAnsi="Times New Roman"/>
                <w:sz w:val="18"/>
                <w:szCs w:val="18"/>
              </w:rPr>
            </w:pPr>
            <w:r>
              <w:rPr>
                <w:rFonts w:ascii="Times New Roman" w:hAnsi="Times New Roman"/>
                <w:sz w:val="18"/>
                <w:szCs w:val="18"/>
              </w:rPr>
              <w:t>41-1-4</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after="180" w:afterLines="50" w:line="240" w:lineRule="auto"/>
              <w:rPr>
                <w:rFonts w:ascii="Times New Roman" w:hAnsi="Times New Roman"/>
                <w:szCs w:val="18"/>
              </w:rPr>
            </w:pPr>
            <w:r>
              <w:rPr>
                <w:rFonts w:ascii="Times New Roman" w:hAnsi="Times New Roman"/>
                <w:szCs w:val="18"/>
              </w:rPr>
              <w:t>SL PRS transmission in resource allocation scheme 2</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after="180" w:afterLines="50" w:line="240" w:lineRule="auto"/>
              <w:ind w:left="180" w:hanging="180" w:hangingChars="100"/>
              <w:rPr>
                <w:rFonts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1</w:t>
            </w:r>
            <w:r>
              <w:rPr>
                <w:rFonts w:ascii="Times New Roman" w:hAnsi="Times New Roman"/>
                <w:color w:val="000000" w:themeColor="text1"/>
                <w:szCs w:val="18"/>
                <w14:textFill>
                  <w14:solidFill>
                    <w14:schemeClr w14:val="tx1"/>
                  </w14:solidFill>
                </w14:textFill>
              </w:rPr>
              <w:t>. UE can transmit SL PRS/PSCCH using scheme 2 SL PRS resource allocation configured by NR Uu or preconfiguration</w:t>
            </w:r>
          </w:p>
          <w:p>
            <w:pPr>
              <w:pStyle w:val="62"/>
              <w:snapToGrid w:val="0"/>
              <w:spacing w:after="180" w:afterLines="50" w:line="240" w:lineRule="auto"/>
              <w:ind w:left="180" w:hanging="180" w:hangingChars="100"/>
              <w:rPr>
                <w:rFonts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2</w:t>
            </w:r>
            <w:r>
              <w:rPr>
                <w:rFonts w:ascii="Times New Roman" w:hAnsi="Times New Roman"/>
                <w:color w:val="000000" w:themeColor="text1"/>
                <w:szCs w:val="18"/>
                <w14:textFill>
                  <w14:solidFill>
                    <w14:schemeClr w14:val="tx1"/>
                  </w14:solidFill>
                </w14:textFill>
              </w:rPr>
              <w:t>. UE can perform scheme 2 sensing and resource allocation operations</w:t>
            </w:r>
          </w:p>
          <w:p>
            <w:pPr>
              <w:pStyle w:val="62"/>
              <w:snapToGrid w:val="0"/>
              <w:spacing w:after="180" w:afterLines="50" w:line="240" w:lineRule="auto"/>
              <w:ind w:left="180" w:hanging="180"/>
              <w:rPr>
                <w:rFonts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3</w:t>
            </w:r>
            <w:r>
              <w:rPr>
                <w:rFonts w:ascii="Times New Roman" w:hAnsi="Times New Roman"/>
                <w:color w:val="000000" w:themeColor="text1"/>
                <w:szCs w:val="18"/>
                <w14:textFill>
                  <w14:solidFill>
                    <w14:schemeClr w14:val="tx1"/>
                  </w14:solidFill>
                </w14:textFill>
              </w:rPr>
              <w:t>. UE can perform random resource selection</w:t>
            </w:r>
          </w:p>
          <w:p>
            <w:pPr>
              <w:pStyle w:val="62"/>
              <w:snapToGrid w:val="0"/>
              <w:spacing w:after="180" w:afterLines="50" w:line="240" w:lineRule="auto"/>
              <w:ind w:left="180" w:hanging="180"/>
              <w:rPr>
                <w:rFonts w:hint="eastAsia"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 Support downlink pathloss power control when scheme 2 is configured by NR Uu</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r>
              <w:rPr>
                <w:rFonts w:ascii="Times New Roman" w:hAnsi="Times New Roman"/>
                <w:szCs w:val="18"/>
              </w:rPr>
              <w:t>41-1-1</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000000" w:themeColor="text1"/>
                <w:szCs w:val="18"/>
                <w14:textFill>
                  <w14:solidFill>
                    <w14:schemeClr w14:val="tx1"/>
                  </w14:solidFill>
                </w14:textFill>
              </w:rPr>
              <w:t>Y</w:t>
            </w:r>
            <w:r>
              <w:rPr>
                <w:rFonts w:ascii="Times New Roman" w:hAnsi="Times New Roman" w:eastAsia="宋体"/>
                <w:color w:val="000000" w:themeColor="text1"/>
                <w:szCs w:val="18"/>
                <w14:textFill>
                  <w14:solidFill>
                    <w14:schemeClr w14:val="tx1"/>
                  </w14:solidFill>
                </w14:textFill>
              </w:rPr>
              <w:t>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szCs w:val="18"/>
              </w:rPr>
              <w:t>SL PRS transmission in resource allocation scheme 2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80" w:afterLines="50" w:line="240" w:lineRule="auto"/>
              <w:contextualSpacing/>
              <w:rPr>
                <w:rFonts w:ascii="Times New Roman" w:hAnsi="Times New Roman"/>
                <w:sz w:val="18"/>
                <w:szCs w:val="18"/>
              </w:rPr>
            </w:pPr>
          </w:p>
        </w:tc>
        <w:tc>
          <w:tcPr>
            <w:tcW w:w="1418" w:type="dxa"/>
            <w:tcBorders>
              <w:top w:val="single" w:color="auto" w:sz="4" w:space="0"/>
              <w:left w:val="single" w:color="auto" w:sz="4" w:space="0"/>
              <w:bottom w:val="single" w:color="auto" w:sz="4" w:space="0"/>
              <w:right w:val="single" w:color="auto" w:sz="4" w:space="0"/>
            </w:tcBorders>
          </w:tcPr>
          <w:p>
            <w:pPr>
              <w:snapToGrid w:val="0"/>
              <w:spacing w:after="0" w:line="240" w:lineRule="auto"/>
              <w:rPr>
                <w:sz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snapToGrid w:val="0"/>
              <w:spacing w:after="180" w:afterLines="50" w:line="240" w:lineRule="auto"/>
              <w:rPr>
                <w:rFonts w:ascii="Times New Roman" w:hAnsi="Times New Roman"/>
                <w:sz w:val="18"/>
                <w:szCs w:val="18"/>
              </w:rPr>
            </w:pPr>
            <w:r>
              <w:rPr>
                <w:rFonts w:ascii="Times New Roman" w:hAnsi="Times New Roman"/>
                <w:sz w:val="18"/>
                <w:szCs w:val="18"/>
              </w:rPr>
              <w:t>41-1-5</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after="180" w:afterLines="50" w:line="240" w:lineRule="auto"/>
              <w:rPr>
                <w:rFonts w:ascii="Times New Roman" w:hAnsi="Times New Roman"/>
                <w:szCs w:val="18"/>
              </w:rPr>
            </w:pPr>
            <w:r>
              <w:rPr>
                <w:rFonts w:ascii="Times New Roman" w:hAnsi="Times New Roman"/>
                <w:szCs w:val="18"/>
              </w:rPr>
              <w:t>SL Positioning congestion control</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after="180" w:afterLines="50" w:line="240" w:lineRule="auto"/>
              <w:ind w:left="180" w:hanging="180" w:hangingChars="100"/>
              <w:rPr>
                <w:rFonts w:hint="eastAsia"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1</w:t>
            </w:r>
            <w:r>
              <w:rPr>
                <w:rFonts w:ascii="Times New Roman" w:hAnsi="Times New Roman"/>
                <w:color w:val="000000" w:themeColor="text1"/>
                <w:szCs w:val="18"/>
                <w14:textFill>
                  <w14:solidFill>
                    <w14:schemeClr w14:val="tx1"/>
                  </w14:solidFill>
                </w14:textFill>
              </w:rPr>
              <w:t>. UE can report SL PRS CBR measurement to gNB</w:t>
            </w:r>
          </w:p>
          <w:p>
            <w:pPr>
              <w:pStyle w:val="62"/>
              <w:snapToGrid w:val="0"/>
              <w:spacing w:after="180" w:afterLines="50" w:line="240" w:lineRule="auto"/>
              <w:rPr>
                <w:rFonts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2</w:t>
            </w:r>
            <w:r>
              <w:rPr>
                <w:rFonts w:ascii="Times New Roman" w:hAnsi="Times New Roman"/>
                <w:color w:val="000000" w:themeColor="text1"/>
                <w:szCs w:val="18"/>
                <w14:textFill>
                  <w14:solidFill>
                    <w14:schemeClr w14:val="tx1"/>
                  </w14:solidFill>
                </w14:textFill>
              </w:rPr>
              <w:t>. UE can adjust its SL PRS transmission parameters based on SL PRS CBR measurement and SL PRS CRlimit</w:t>
            </w:r>
          </w:p>
          <w:p>
            <w:pPr>
              <w:pStyle w:val="62"/>
              <w:snapToGrid w:val="0"/>
              <w:spacing w:after="180" w:afterLines="50" w:line="240" w:lineRule="auto"/>
              <w:rPr>
                <w:rFonts w:hint="eastAsia"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3</w:t>
            </w:r>
            <w:r>
              <w:rPr>
                <w:rFonts w:ascii="Times New Roman" w:hAnsi="Times New Roman"/>
                <w:color w:val="000000" w:themeColor="text1"/>
                <w:szCs w:val="18"/>
                <w14:textFill>
                  <w14:solidFill>
                    <w14:schemeClr w14:val="tx1"/>
                  </w14:solidFill>
                </w14:textFill>
              </w:rPr>
              <w:t>. UE can process CBR and CR within the time</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r>
              <w:rPr>
                <w:rFonts w:ascii="Times New Roman" w:hAnsi="Times New Roman"/>
                <w:szCs w:val="18"/>
              </w:rPr>
              <w:t>41-1-1 and at least one of 41-1-3 and 41-1-4</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000000" w:themeColor="text1"/>
                <w:szCs w:val="18"/>
                <w14:textFill>
                  <w14:solidFill>
                    <w14:schemeClr w14:val="tx1"/>
                  </w14:solidFill>
                </w14:textFill>
              </w:rPr>
              <w:t>Y</w:t>
            </w:r>
            <w:r>
              <w:rPr>
                <w:rFonts w:ascii="Times New Roman" w:hAnsi="Times New Roman" w:eastAsia="宋体"/>
                <w:color w:val="000000" w:themeColor="text1"/>
                <w:szCs w:val="18"/>
                <w14:textFill>
                  <w14:solidFill>
                    <w14:schemeClr w14:val="tx1"/>
                  </w14:solidFill>
                </w14:textFill>
              </w:rPr>
              <w:t>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SL Positioning congestion control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80" w:afterLines="50" w:line="240" w:lineRule="auto"/>
              <w:contextualSpacing/>
              <w:rPr>
                <w:rFonts w:ascii="Times New Roman" w:hAnsi="Times New Roman"/>
                <w:sz w:val="18"/>
                <w:szCs w:val="18"/>
              </w:rPr>
            </w:pPr>
          </w:p>
        </w:tc>
        <w:tc>
          <w:tcPr>
            <w:tcW w:w="1418" w:type="dxa"/>
            <w:tcBorders>
              <w:top w:val="single" w:color="auto" w:sz="4" w:space="0"/>
              <w:left w:val="single" w:color="auto" w:sz="4" w:space="0"/>
              <w:bottom w:val="single" w:color="auto" w:sz="4" w:space="0"/>
              <w:right w:val="single" w:color="auto" w:sz="4" w:space="0"/>
            </w:tcBorders>
          </w:tcPr>
          <w:p>
            <w:pPr>
              <w:snapToGrid w:val="0"/>
              <w:spacing w:after="0" w:line="240" w:lineRule="auto"/>
              <w:rPr>
                <w:sz w:val="18"/>
              </w:rPr>
            </w:pPr>
            <w:r>
              <w:rPr>
                <w:rFonts w:ascii="Times New Roman" w:hAnsi="Times New Roman"/>
                <w:color w:val="000000" w:themeColor="text1"/>
                <w:sz w:val="18"/>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snapToGrid w:val="0"/>
              <w:spacing w:after="180" w:afterLines="50" w:line="240" w:lineRule="auto"/>
              <w:rPr>
                <w:rFonts w:ascii="Times New Roman" w:hAnsi="Times New Roman"/>
                <w:sz w:val="18"/>
                <w:szCs w:val="18"/>
              </w:rPr>
            </w:pPr>
            <w:r>
              <w:rPr>
                <w:rFonts w:ascii="Times New Roman" w:hAnsi="Times New Roman"/>
                <w:sz w:val="18"/>
                <w:szCs w:val="18"/>
              </w:rPr>
              <w:t>41-1-6</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after="180" w:afterLines="50" w:line="240" w:lineRule="auto"/>
              <w:rPr>
                <w:rFonts w:ascii="Times New Roman" w:hAnsi="Times New Roman"/>
                <w:szCs w:val="18"/>
              </w:rPr>
            </w:pPr>
            <w:r>
              <w:rPr>
                <w:rFonts w:ascii="Times New Roman" w:hAnsi="Times New Roman"/>
                <w:szCs w:val="18"/>
              </w:rPr>
              <w:t>Open loop power control and RSRP report for SL positioning</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after="180" w:afterLines="50" w:line="240" w:lineRule="auto"/>
              <w:ind w:left="180" w:hanging="180" w:hangingChars="100"/>
              <w:rPr>
                <w:rFonts w:hint="eastAsia"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1</w:t>
            </w:r>
            <w:r>
              <w:rPr>
                <w:rFonts w:ascii="Times New Roman" w:hAnsi="Times New Roman"/>
                <w:color w:val="000000" w:themeColor="text1"/>
                <w:szCs w:val="18"/>
                <w14:textFill>
                  <w14:solidFill>
                    <w14:schemeClr w14:val="tx1"/>
                  </w14:solidFill>
                </w14:textFill>
              </w:rPr>
              <w:t>. Support sidelink pathloss based open loop power control and RSRP report in case of unicast, Sidelink pathloss can be calculated based on SL PRS</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r>
              <w:rPr>
                <w:rFonts w:ascii="Times New Roman" w:hAnsi="Times New Roman"/>
                <w:szCs w:val="18"/>
              </w:rPr>
              <w:t>41-1-1 and at least one of 41-1-3 and 41-1-4</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000000" w:themeColor="text1"/>
                <w:szCs w:val="18"/>
                <w14:textFill>
                  <w14:solidFill>
                    <w14:schemeClr w14:val="tx1"/>
                  </w14:solidFill>
                </w14:textFill>
              </w:rPr>
              <w:t>Y</w:t>
            </w:r>
            <w:r>
              <w:rPr>
                <w:rFonts w:ascii="Times New Roman" w:hAnsi="Times New Roman" w:eastAsia="宋体"/>
                <w:color w:val="000000" w:themeColor="text1"/>
                <w:szCs w:val="18"/>
                <w14:textFill>
                  <w14:solidFill>
                    <w14:schemeClr w14:val="tx1"/>
                  </w14:solidFill>
                </w14:textFill>
              </w:rPr>
              <w:t>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szCs w:val="18"/>
              </w:rPr>
              <w:t>Open loop power control and RSRP report for SL positioning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after="180" w:afterLines="50"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80" w:afterLines="50" w:line="240" w:lineRule="auto"/>
              <w:contextualSpacing/>
              <w:rPr>
                <w:rFonts w:ascii="Times New Roman" w:hAnsi="Times New Roman"/>
                <w:sz w:val="18"/>
                <w:szCs w:val="18"/>
              </w:rPr>
            </w:pPr>
          </w:p>
        </w:tc>
        <w:tc>
          <w:tcPr>
            <w:tcW w:w="1418" w:type="dxa"/>
            <w:tcBorders>
              <w:top w:val="single" w:color="auto" w:sz="4" w:space="0"/>
              <w:left w:val="single" w:color="auto" w:sz="4" w:space="0"/>
              <w:bottom w:val="single" w:color="auto" w:sz="4" w:space="0"/>
              <w:right w:val="single" w:color="auto" w:sz="4" w:space="0"/>
            </w:tcBorders>
          </w:tcPr>
          <w:p>
            <w:pPr>
              <w:snapToGrid w:val="0"/>
              <w:spacing w:after="0" w:line="240" w:lineRule="auto"/>
              <w:rPr>
                <w:sz w:val="18"/>
              </w:rPr>
            </w:pPr>
            <w:r>
              <w:rPr>
                <w:rFonts w:ascii="Times New Roman" w:hAnsi="Times New Roman"/>
                <w:color w:val="000000" w:themeColor="text1"/>
                <w:sz w:val="18"/>
                <w:szCs w:val="18"/>
                <w14:textFill>
                  <w14:solidFill>
                    <w14:schemeClr w14:val="tx1"/>
                  </w14:solidFill>
                </w14:textFill>
              </w:rPr>
              <w:t>Optional with capability signaling</w:t>
            </w:r>
          </w:p>
        </w:tc>
      </w:tr>
    </w:tbl>
    <w:p>
      <w:pPr>
        <w:snapToGrid w:val="0"/>
        <w:spacing w:after="180" w:afterLines="50" w:line="240" w:lineRule="auto"/>
        <w:rPr>
          <w:rFonts w:hint="eastAsia" w:ascii="Times New Roman" w:hAnsi="Times New Roman"/>
          <w:sz w:val="20"/>
        </w:rPr>
      </w:pPr>
    </w:p>
    <w:p>
      <w:pPr>
        <w:snapToGrid w:val="0"/>
        <w:spacing w:after="180" w:afterLines="50" w:line="240" w:lineRule="auto"/>
        <w:rPr>
          <w:rFonts w:ascii="Times New Roman" w:hAnsi="Times New Roman"/>
          <w:sz w:val="20"/>
        </w:rPr>
      </w:pPr>
      <w:r>
        <w:rPr>
          <w:rFonts w:ascii="Times New Roman" w:hAnsi="Times New Roman"/>
          <w:sz w:val="20"/>
        </w:rPr>
        <w:br w:type="page"/>
      </w:r>
    </w:p>
    <w:p>
      <w:pPr>
        <w:snapToGrid w:val="0"/>
        <w:spacing w:after="180" w:afterLines="50" w:line="240" w:lineRule="auto"/>
        <w:rPr>
          <w:rFonts w:hint="eastAsia" w:ascii="Times New Roman" w:hAnsi="Times New Roman"/>
          <w:sz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NR DL and UL carrier phase positioning</w:t>
      </w:r>
    </w:p>
    <w:p>
      <w:pPr>
        <w:rPr>
          <w:rFonts w:ascii="Times New Roman" w:hAnsi="Times New Roman"/>
          <w:sz w:val="20"/>
          <w:szCs w:val="20"/>
        </w:rPr>
      </w:pPr>
      <w:r>
        <w:rPr>
          <w:rFonts w:hint="eastAsia" w:ascii="Times New Roman" w:hAnsi="Times New Roman"/>
          <w:sz w:val="20"/>
          <w:szCs w:val="20"/>
        </w:rPr>
        <w:t>For NR DL and UL carrier phase positioning, we provide our views on UE features as below:</w:t>
      </w:r>
    </w:p>
    <w:p>
      <w:pPr>
        <w:pStyle w:val="15"/>
        <w:snapToGrid w:val="0"/>
        <w:rPr>
          <w:b w:val="0"/>
          <w:bCs w:val="0"/>
          <w:i/>
          <w:iCs/>
          <w:lang w:val="en-US" w:eastAsia="zh-CN"/>
        </w:rPr>
      </w:pPr>
      <w:bookmarkStart w:id="8" w:name="_Hlk134881935"/>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rFonts w:hint="eastAsia"/>
          <w:i/>
          <w:iCs/>
          <w:lang w:val="en-US" w:eastAsia="zh-CN"/>
        </w:rPr>
        <w:t xml:space="preserve">: </w:t>
      </w:r>
      <w:r>
        <w:rPr>
          <w:rFonts w:hint="eastAsia"/>
          <w:b w:val="0"/>
          <w:bCs w:val="0"/>
          <w:i/>
          <w:iCs/>
          <w:lang w:val="en-US" w:eastAsia="zh-CN"/>
        </w:rPr>
        <w:t xml:space="preserve">Introduce a new FG 41-2-1 for </w:t>
      </w:r>
      <w:bookmarkEnd w:id="8"/>
      <w:r>
        <w:rPr>
          <w:b w:val="0"/>
          <w:bCs w:val="0"/>
          <w:i/>
          <w:iCs/>
          <w:lang w:val="en-US" w:eastAsia="zh-CN"/>
        </w:rPr>
        <w:t>DL PRS</w:t>
      </w:r>
      <w:r>
        <w:rPr>
          <w:rFonts w:hint="eastAsia"/>
          <w:b w:val="0"/>
          <w:bCs w:val="0"/>
          <w:i/>
          <w:iCs/>
          <w:lang w:val="en-US" w:eastAsia="zh-CN"/>
        </w:rPr>
        <w:t xml:space="preserve"> carrier phase</w:t>
      </w:r>
      <w:r>
        <w:rPr>
          <w:b w:val="0"/>
          <w:bCs w:val="0"/>
          <w:i/>
          <w:iCs/>
          <w:lang w:val="en-US" w:eastAsia="zh-CN"/>
        </w:rPr>
        <w:t xml:space="preserve"> </w:t>
      </w:r>
      <w:r>
        <w:rPr>
          <w:rFonts w:hint="eastAsia"/>
          <w:b w:val="0"/>
          <w:bCs w:val="0"/>
          <w:i/>
          <w:iCs/>
          <w:lang w:val="en-US" w:eastAsia="zh-CN"/>
        </w:rPr>
        <w:t>measurement in MG:</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PRS processing time {N</w:t>
      </w:r>
      <w:r>
        <w:rPr>
          <w:rFonts w:hint="eastAsia" w:ascii="Times New Roman" w:hAnsi="Times New Roman"/>
          <w:i/>
          <w:iCs/>
          <w:sz w:val="20"/>
          <w:szCs w:val="20"/>
          <w:vertAlign w:val="subscript"/>
        </w:rPr>
        <w:t>CPM</w:t>
      </w:r>
      <w:r>
        <w:rPr>
          <w:rFonts w:hint="eastAsia" w:ascii="Times New Roman" w:hAnsi="Times New Roman"/>
          <w:i/>
          <w:iCs/>
          <w:sz w:val="20"/>
          <w:szCs w:val="20"/>
        </w:rPr>
        <w:t>, T</w:t>
      </w:r>
      <w:r>
        <w:rPr>
          <w:rFonts w:hint="eastAsia" w:ascii="Times New Roman" w:hAnsi="Times New Roman"/>
          <w:i/>
          <w:iCs/>
          <w:sz w:val="20"/>
          <w:szCs w:val="20"/>
          <w:vertAlign w:val="subscript"/>
        </w:rPr>
        <w:t>CPM</w:t>
      </w:r>
      <w:r>
        <w:rPr>
          <w:rFonts w:hint="eastAsia" w:ascii="Times New Roman" w:hAnsi="Times New Roman"/>
          <w:i/>
          <w:iCs/>
          <w:sz w:val="20"/>
          <w:szCs w:val="20"/>
        </w:rPr>
        <w:t xml:space="preserve">} for carrier phase measurement. </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Compared with {N, T} for PRS measurement in FG 13-1, more UE processing time is needed for carrier phase measurement. Hence, N</w:t>
      </w:r>
      <w:r>
        <w:rPr>
          <w:rFonts w:hint="eastAsia" w:ascii="Times New Roman" w:hAnsi="Times New Roman"/>
          <w:i/>
          <w:iCs/>
          <w:sz w:val="20"/>
          <w:szCs w:val="20"/>
          <w:vertAlign w:val="subscript"/>
        </w:rPr>
        <w:t>CPM</w:t>
      </w:r>
      <w:r>
        <w:rPr>
          <w:rFonts w:ascii="Times New Roman" w:hAnsi="Times New Roman"/>
          <w:i/>
          <w:iCs/>
          <w:sz w:val="20"/>
          <w:szCs w:val="20"/>
        </w:rPr>
        <w:t xml:space="preserve"> ≤ N or </w:t>
      </w:r>
      <w:r>
        <w:rPr>
          <w:rFonts w:hint="eastAsia" w:ascii="Times New Roman" w:hAnsi="Times New Roman"/>
          <w:i/>
          <w:iCs/>
          <w:sz w:val="20"/>
          <w:szCs w:val="20"/>
        </w:rPr>
        <w:t>T</w:t>
      </w:r>
      <w:r>
        <w:rPr>
          <w:rFonts w:hint="eastAsia" w:ascii="Times New Roman" w:hAnsi="Times New Roman"/>
          <w:i/>
          <w:iCs/>
          <w:sz w:val="20"/>
          <w:szCs w:val="20"/>
          <w:vertAlign w:val="subscript"/>
        </w:rPr>
        <w:t>CPM</w:t>
      </w:r>
      <w:r>
        <w:rPr>
          <w:rFonts w:ascii="Times New Roman" w:hAnsi="Times New Roman"/>
          <w:i/>
          <w:iCs/>
          <w:sz w:val="20"/>
          <w:szCs w:val="20"/>
        </w:rPr>
        <w:t>≥ T</w:t>
      </w:r>
      <w:r>
        <w:rPr>
          <w:rFonts w:hint="eastAsia" w:ascii="Times New Roman" w:hAnsi="Times New Roman"/>
          <w:i/>
          <w:iCs/>
          <w:sz w:val="20"/>
          <w:szCs w:val="20"/>
        </w:rPr>
        <w:t>.</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maximum</w:t>
      </w:r>
      <w:r>
        <w:rPr>
          <w:rFonts w:ascii="Times New Roman" w:hAnsi="Times New Roman"/>
          <w:i/>
          <w:iCs/>
          <w:sz w:val="20"/>
          <w:szCs w:val="20"/>
        </w:rPr>
        <w:t xml:space="preserve"> number of DL PRS resources M</w:t>
      </w:r>
      <w:r>
        <w:rPr>
          <w:rFonts w:hint="eastAsia" w:ascii="Times New Roman" w:hAnsi="Times New Roman"/>
          <w:i/>
          <w:iCs/>
          <w:sz w:val="20"/>
          <w:szCs w:val="20"/>
          <w:vertAlign w:val="subscript"/>
        </w:rPr>
        <w:t>CPM</w:t>
      </w:r>
      <w:r>
        <w:rPr>
          <w:rFonts w:ascii="Times New Roman" w:hAnsi="Times New Roman"/>
          <w:i/>
          <w:iCs/>
          <w:sz w:val="20"/>
          <w:szCs w:val="20"/>
        </w:rPr>
        <w:t xml:space="preserve"> that UE can process in a slot for </w:t>
      </w:r>
      <w:r>
        <w:rPr>
          <w:rFonts w:hint="eastAsia" w:ascii="Times New Roman" w:hAnsi="Times New Roman"/>
          <w:i/>
          <w:iCs/>
          <w:sz w:val="20"/>
          <w:szCs w:val="20"/>
        </w:rPr>
        <w:t>carrier phase measurement.</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current PRS measurement, more UE memory/complexity is needed for carrier phase measurement, so less resources may be processed. Hence, </w:t>
      </w:r>
      <w:r>
        <w:rPr>
          <w:rFonts w:ascii="Times New Roman" w:hAnsi="Times New Roman"/>
          <w:i/>
          <w:iCs/>
          <w:sz w:val="20"/>
          <w:szCs w:val="20"/>
        </w:rPr>
        <w:t>M</w:t>
      </w:r>
      <w:r>
        <w:rPr>
          <w:rFonts w:hint="eastAsia" w:ascii="Times New Roman" w:hAnsi="Times New Roman"/>
          <w:i/>
          <w:iCs/>
          <w:sz w:val="20"/>
          <w:szCs w:val="20"/>
          <w:vertAlign w:val="subscript"/>
        </w:rPr>
        <w:t>CPM</w:t>
      </w:r>
      <w:r>
        <w:rPr>
          <w:rFonts w:ascii="Times New Roman" w:hAnsi="Times New Roman"/>
          <w:i/>
          <w:iCs/>
          <w:sz w:val="20"/>
          <w:szCs w:val="20"/>
        </w:rPr>
        <w:t xml:space="preserve"> ≤ M, where M is maximum number PRS resources for </w:t>
      </w:r>
      <w:r>
        <w:rPr>
          <w:rFonts w:hint="eastAsia" w:ascii="Times New Roman" w:hAnsi="Times New Roman"/>
          <w:i/>
          <w:iCs/>
          <w:sz w:val="20"/>
          <w:szCs w:val="20"/>
        </w:rPr>
        <w:t>PRS</w:t>
      </w:r>
      <w:r>
        <w:rPr>
          <w:rFonts w:ascii="Times New Roman" w:hAnsi="Times New Roman"/>
          <w:i/>
          <w:iCs/>
          <w:sz w:val="20"/>
          <w:szCs w:val="20"/>
        </w:rPr>
        <w:t xml:space="preserve"> measurement reported by FG 13-1</w:t>
      </w:r>
      <w:r>
        <w:rPr>
          <w:rFonts w:hint="eastAsia" w:ascii="Times New Roman" w:hAnsi="Times New Roman"/>
          <w:i/>
          <w:iCs/>
          <w:sz w:val="20"/>
          <w:szCs w:val="20"/>
        </w:rPr>
        <w:t>.</w:t>
      </w:r>
    </w:p>
    <w:p>
      <w:pPr>
        <w:snapToGrid w:val="0"/>
        <w:spacing w:before="120" w:after="120" w:line="240" w:lineRule="auto"/>
        <w:rPr>
          <w:rFonts w:ascii="Times New Roman" w:hAnsi="Times New Roman"/>
          <w:i/>
          <w:iCs/>
          <w:sz w:val="20"/>
          <w:szCs w:val="20"/>
        </w:rPr>
      </w:pPr>
    </w:p>
    <w:p>
      <w:pPr>
        <w:snapToGrid w:val="0"/>
        <w:spacing w:before="120" w:after="120" w:line="240" w:lineRule="auto"/>
        <w:rPr>
          <w:rFonts w:ascii="Times New Roman" w:hAnsi="Times New Roman"/>
          <w:i/>
          <w:iCs/>
          <w:sz w:val="20"/>
          <w:szCs w:val="20"/>
        </w:rPr>
      </w:pPr>
      <w:r>
        <w:rPr>
          <w:rFonts w:ascii="Times New Roman" w:hAnsi="Times New Roman"/>
          <w:b/>
          <w:bCs/>
          <w:i/>
          <w:iCs/>
          <w:sz w:val="20"/>
          <w:szCs w:val="20"/>
          <w:lang w:val="en-GB" w:eastAsia="sv-SE"/>
        </w:rPr>
        <w:t xml:space="preserve">Proposal </w:t>
      </w:r>
      <w:r>
        <w:rPr>
          <w:rFonts w:ascii="Times New Roman" w:hAnsi="Times New Roman"/>
          <w:b/>
          <w:bCs/>
          <w:i/>
          <w:iCs/>
          <w:sz w:val="20"/>
          <w:szCs w:val="20"/>
          <w:lang w:val="en-GB" w:eastAsia="sv-SE"/>
        </w:rPr>
        <w:fldChar w:fldCharType="begin"/>
      </w:r>
      <w:r>
        <w:rPr>
          <w:rFonts w:ascii="Times New Roman" w:hAnsi="Times New Roman"/>
          <w:b/>
          <w:bCs/>
          <w:i/>
          <w:iCs/>
          <w:sz w:val="20"/>
          <w:szCs w:val="20"/>
          <w:lang w:val="en-GB" w:eastAsia="sv-SE"/>
        </w:rPr>
        <w:instrText xml:space="preserve"> SEQ Proposal \* ARABIC </w:instrText>
      </w:r>
      <w:r>
        <w:rPr>
          <w:rFonts w:ascii="Times New Roman" w:hAnsi="Times New Roman"/>
          <w:b/>
          <w:bCs/>
          <w:i/>
          <w:iCs/>
          <w:sz w:val="20"/>
          <w:szCs w:val="20"/>
          <w:lang w:val="en-GB" w:eastAsia="sv-SE"/>
        </w:rPr>
        <w:fldChar w:fldCharType="separate"/>
      </w:r>
      <w:r>
        <w:rPr>
          <w:rFonts w:ascii="Times New Roman" w:hAnsi="Times New Roman"/>
          <w:b/>
          <w:bCs/>
          <w:i/>
          <w:iCs/>
          <w:sz w:val="20"/>
          <w:szCs w:val="20"/>
          <w:lang w:val="en-GB" w:eastAsia="sv-SE"/>
        </w:rPr>
        <w:t>8</w:t>
      </w:r>
      <w:r>
        <w:rPr>
          <w:rFonts w:ascii="Times New Roman" w:hAnsi="Times New Roman"/>
          <w:b/>
          <w:bCs/>
          <w:i/>
          <w:iCs/>
          <w:sz w:val="20"/>
          <w:szCs w:val="20"/>
          <w:lang w:val="en-GB" w:eastAsia="sv-SE"/>
        </w:rPr>
        <w:fldChar w:fldCharType="end"/>
      </w:r>
      <w:r>
        <w:rPr>
          <w:rFonts w:hint="eastAsia" w:ascii="Times New Roman" w:hAnsi="Times New Roman"/>
          <w:b/>
          <w:bCs/>
          <w:i/>
          <w:iCs/>
          <w:sz w:val="20"/>
          <w:szCs w:val="20"/>
        </w:rPr>
        <w:t xml:space="preserve">: </w:t>
      </w:r>
      <w:r>
        <w:rPr>
          <w:rFonts w:hint="eastAsia" w:ascii="Times New Roman" w:hAnsi="Times New Roman"/>
          <w:i/>
          <w:iCs/>
          <w:sz w:val="20"/>
          <w:szCs w:val="20"/>
        </w:rPr>
        <w:t xml:space="preserve">Introduce a new FG 41-2-2 for </w:t>
      </w:r>
      <w:r>
        <w:rPr>
          <w:rFonts w:ascii="Times New Roman" w:hAnsi="Times New Roman"/>
          <w:i/>
          <w:iCs/>
          <w:sz w:val="20"/>
          <w:szCs w:val="20"/>
        </w:rPr>
        <w:t>DL PRS</w:t>
      </w:r>
      <w:r>
        <w:rPr>
          <w:rFonts w:hint="eastAsia" w:ascii="Times New Roman" w:hAnsi="Times New Roman"/>
          <w:i/>
          <w:iCs/>
          <w:sz w:val="20"/>
          <w:szCs w:val="20"/>
        </w:rPr>
        <w:t xml:space="preserve"> carrier phase</w:t>
      </w:r>
      <w:r>
        <w:rPr>
          <w:rFonts w:ascii="Times New Roman" w:hAnsi="Times New Roman"/>
          <w:i/>
          <w:iCs/>
          <w:sz w:val="20"/>
          <w:szCs w:val="20"/>
        </w:rPr>
        <w:t xml:space="preserve"> </w:t>
      </w:r>
      <w:r>
        <w:rPr>
          <w:rFonts w:hint="eastAsia" w:ascii="Times New Roman" w:hAnsi="Times New Roman"/>
          <w:i/>
          <w:iCs/>
          <w:sz w:val="20"/>
          <w:szCs w:val="20"/>
        </w:rPr>
        <w:t>measurement in RRC inactive state:</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PRS processing time {N</w:t>
      </w:r>
      <w:r>
        <w:rPr>
          <w:rFonts w:hint="eastAsia" w:ascii="Times New Roman" w:hAnsi="Times New Roman"/>
          <w:i/>
          <w:iCs/>
          <w:sz w:val="20"/>
          <w:szCs w:val="20"/>
          <w:vertAlign w:val="subscript"/>
        </w:rPr>
        <w:t>CPM</w:t>
      </w:r>
      <w:r>
        <w:rPr>
          <w:rFonts w:hint="eastAsia" w:ascii="Times New Roman" w:hAnsi="Times New Roman"/>
          <w:i/>
          <w:iCs/>
          <w:sz w:val="20"/>
          <w:szCs w:val="20"/>
        </w:rPr>
        <w:t>, T</w:t>
      </w:r>
      <w:r>
        <w:rPr>
          <w:rFonts w:hint="eastAsia" w:ascii="Times New Roman" w:hAnsi="Times New Roman"/>
          <w:i/>
          <w:iCs/>
          <w:sz w:val="20"/>
          <w:szCs w:val="20"/>
          <w:vertAlign w:val="subscript"/>
        </w:rPr>
        <w:t>CPM</w:t>
      </w:r>
      <w:r>
        <w:rPr>
          <w:rFonts w:hint="eastAsia" w:ascii="Times New Roman" w:hAnsi="Times New Roman"/>
          <w:i/>
          <w:iCs/>
          <w:sz w:val="20"/>
          <w:szCs w:val="20"/>
        </w:rPr>
        <w:t xml:space="preserve">} for carrier phase measurement. </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Compared with {N, T} for PRS measurement in FG 13-1, more UE processing time is needed for carrier phase measurement. Hence, N</w:t>
      </w:r>
      <w:r>
        <w:rPr>
          <w:rFonts w:hint="eastAsia" w:ascii="Times New Roman" w:hAnsi="Times New Roman"/>
          <w:i/>
          <w:iCs/>
          <w:sz w:val="20"/>
          <w:szCs w:val="20"/>
          <w:vertAlign w:val="subscript"/>
        </w:rPr>
        <w:t>CPM</w:t>
      </w:r>
      <w:r>
        <w:rPr>
          <w:rFonts w:ascii="Times New Roman" w:hAnsi="Times New Roman"/>
          <w:i/>
          <w:iCs/>
          <w:sz w:val="20"/>
          <w:szCs w:val="20"/>
        </w:rPr>
        <w:t xml:space="preserve"> ≤ N or </w:t>
      </w:r>
      <w:r>
        <w:rPr>
          <w:rFonts w:hint="eastAsia" w:ascii="Times New Roman" w:hAnsi="Times New Roman"/>
          <w:i/>
          <w:iCs/>
          <w:sz w:val="20"/>
          <w:szCs w:val="20"/>
        </w:rPr>
        <w:t>T</w:t>
      </w:r>
      <w:r>
        <w:rPr>
          <w:rFonts w:hint="eastAsia" w:ascii="Times New Roman" w:hAnsi="Times New Roman"/>
          <w:i/>
          <w:iCs/>
          <w:sz w:val="20"/>
          <w:szCs w:val="20"/>
          <w:vertAlign w:val="subscript"/>
        </w:rPr>
        <w:t>CPM</w:t>
      </w:r>
      <w:r>
        <w:rPr>
          <w:rFonts w:ascii="Times New Roman" w:hAnsi="Times New Roman"/>
          <w:i/>
          <w:iCs/>
          <w:sz w:val="20"/>
          <w:szCs w:val="20"/>
        </w:rPr>
        <w:t>≥ T</w:t>
      </w:r>
      <w:r>
        <w:rPr>
          <w:rFonts w:hint="eastAsia" w:ascii="Times New Roman" w:hAnsi="Times New Roman"/>
          <w:i/>
          <w:iCs/>
          <w:sz w:val="20"/>
          <w:szCs w:val="20"/>
        </w:rPr>
        <w:t>.</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maximum</w:t>
      </w:r>
      <w:r>
        <w:rPr>
          <w:rFonts w:ascii="Times New Roman" w:hAnsi="Times New Roman"/>
          <w:i/>
          <w:iCs/>
          <w:sz w:val="20"/>
          <w:szCs w:val="20"/>
        </w:rPr>
        <w:t xml:space="preserve"> number of DL PRS resources M</w:t>
      </w:r>
      <w:r>
        <w:rPr>
          <w:rFonts w:hint="eastAsia" w:ascii="Times New Roman" w:hAnsi="Times New Roman"/>
          <w:i/>
          <w:iCs/>
          <w:sz w:val="20"/>
          <w:szCs w:val="20"/>
          <w:vertAlign w:val="subscript"/>
        </w:rPr>
        <w:t>CPM</w:t>
      </w:r>
      <w:r>
        <w:rPr>
          <w:rFonts w:ascii="Times New Roman" w:hAnsi="Times New Roman"/>
          <w:i/>
          <w:iCs/>
          <w:sz w:val="20"/>
          <w:szCs w:val="20"/>
        </w:rPr>
        <w:t xml:space="preserve"> that UE can process in a slot for </w:t>
      </w:r>
      <w:r>
        <w:rPr>
          <w:rFonts w:hint="eastAsia" w:ascii="Times New Roman" w:hAnsi="Times New Roman"/>
          <w:i/>
          <w:iCs/>
          <w:sz w:val="20"/>
          <w:szCs w:val="20"/>
        </w:rPr>
        <w:t>carrier phase measurement.</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current PRS measurement, more UE memory/complexity is needed for carrier phase measurement, so less resources may be processed. Hence, </w:t>
      </w:r>
      <w:r>
        <w:rPr>
          <w:rFonts w:ascii="Times New Roman" w:hAnsi="Times New Roman"/>
          <w:i/>
          <w:iCs/>
          <w:sz w:val="20"/>
          <w:szCs w:val="20"/>
        </w:rPr>
        <w:t>M</w:t>
      </w:r>
      <w:r>
        <w:rPr>
          <w:rFonts w:hint="eastAsia" w:ascii="Times New Roman" w:hAnsi="Times New Roman"/>
          <w:i/>
          <w:iCs/>
          <w:sz w:val="20"/>
          <w:szCs w:val="20"/>
          <w:vertAlign w:val="subscript"/>
        </w:rPr>
        <w:t>CPM</w:t>
      </w:r>
      <w:r>
        <w:rPr>
          <w:rFonts w:ascii="Times New Roman" w:hAnsi="Times New Roman"/>
          <w:i/>
          <w:iCs/>
          <w:sz w:val="20"/>
          <w:szCs w:val="20"/>
        </w:rPr>
        <w:t xml:space="preserve"> ≤ M, where M is maximum number PRS resources for </w:t>
      </w:r>
      <w:r>
        <w:rPr>
          <w:rFonts w:hint="eastAsia" w:ascii="Times New Roman" w:hAnsi="Times New Roman"/>
          <w:i/>
          <w:iCs/>
          <w:sz w:val="20"/>
          <w:szCs w:val="20"/>
        </w:rPr>
        <w:t>PRS</w:t>
      </w:r>
      <w:r>
        <w:rPr>
          <w:rFonts w:ascii="Times New Roman" w:hAnsi="Times New Roman"/>
          <w:i/>
          <w:iCs/>
          <w:sz w:val="20"/>
          <w:szCs w:val="20"/>
        </w:rPr>
        <w:t xml:space="preserve"> measurement reported by FG 13-1</w:t>
      </w:r>
      <w:r>
        <w:rPr>
          <w:rFonts w:hint="eastAsia" w:ascii="Times New Roman" w:hAnsi="Times New Roman"/>
          <w:i/>
          <w:iCs/>
          <w:sz w:val="20"/>
          <w:szCs w:val="20"/>
        </w:rPr>
        <w:t>.</w:t>
      </w:r>
    </w:p>
    <w:p>
      <w:pPr>
        <w:snapToGrid w:val="0"/>
        <w:spacing w:before="120" w:after="120" w:line="240" w:lineRule="auto"/>
        <w:rPr>
          <w:rFonts w:ascii="Times New Roman" w:hAnsi="Times New Roman"/>
          <w:i/>
          <w:iCs/>
          <w:sz w:val="20"/>
          <w:szCs w:val="20"/>
        </w:rPr>
      </w:pPr>
    </w:p>
    <w:p>
      <w:pPr>
        <w:snapToGrid w:val="0"/>
        <w:spacing w:before="120" w:after="120" w:line="240" w:lineRule="auto"/>
        <w:rPr>
          <w:rFonts w:ascii="Times New Roman" w:hAnsi="Times New Roman"/>
          <w:i/>
          <w:iCs/>
          <w:sz w:val="20"/>
          <w:szCs w:val="20"/>
        </w:rPr>
      </w:pPr>
      <w:r>
        <w:rPr>
          <w:rFonts w:ascii="Times New Roman" w:hAnsi="Times New Roman"/>
          <w:b/>
          <w:bCs/>
          <w:i/>
          <w:iCs/>
          <w:sz w:val="20"/>
          <w:szCs w:val="20"/>
          <w:lang w:val="en-GB" w:eastAsia="sv-SE"/>
        </w:rPr>
        <w:t xml:space="preserve">Proposal </w:t>
      </w:r>
      <w:r>
        <w:rPr>
          <w:rFonts w:ascii="Times New Roman" w:hAnsi="Times New Roman"/>
          <w:b/>
          <w:bCs/>
          <w:i/>
          <w:iCs/>
          <w:sz w:val="20"/>
          <w:szCs w:val="20"/>
          <w:lang w:val="en-GB" w:eastAsia="sv-SE"/>
        </w:rPr>
        <w:fldChar w:fldCharType="begin"/>
      </w:r>
      <w:r>
        <w:rPr>
          <w:rFonts w:ascii="Times New Roman" w:hAnsi="Times New Roman"/>
          <w:b/>
          <w:bCs/>
          <w:i/>
          <w:iCs/>
          <w:sz w:val="20"/>
          <w:szCs w:val="20"/>
          <w:lang w:val="en-GB" w:eastAsia="sv-SE"/>
        </w:rPr>
        <w:instrText xml:space="preserve"> SEQ Proposal \* ARABIC </w:instrText>
      </w:r>
      <w:r>
        <w:rPr>
          <w:rFonts w:ascii="Times New Roman" w:hAnsi="Times New Roman"/>
          <w:b/>
          <w:bCs/>
          <w:i/>
          <w:iCs/>
          <w:sz w:val="20"/>
          <w:szCs w:val="20"/>
          <w:lang w:val="en-GB" w:eastAsia="sv-SE"/>
        </w:rPr>
        <w:fldChar w:fldCharType="separate"/>
      </w:r>
      <w:r>
        <w:rPr>
          <w:rFonts w:ascii="Times New Roman" w:hAnsi="Times New Roman"/>
          <w:b/>
          <w:bCs/>
          <w:i/>
          <w:iCs/>
          <w:sz w:val="20"/>
          <w:szCs w:val="20"/>
          <w:lang w:val="en-GB" w:eastAsia="sv-SE"/>
        </w:rPr>
        <w:t>9</w:t>
      </w:r>
      <w:r>
        <w:rPr>
          <w:rFonts w:ascii="Times New Roman" w:hAnsi="Times New Roman"/>
          <w:b/>
          <w:bCs/>
          <w:i/>
          <w:iCs/>
          <w:sz w:val="20"/>
          <w:szCs w:val="20"/>
          <w:lang w:val="en-GB" w:eastAsia="sv-SE"/>
        </w:rPr>
        <w:fldChar w:fldCharType="end"/>
      </w:r>
      <w:r>
        <w:rPr>
          <w:rFonts w:hint="eastAsia" w:ascii="Times New Roman" w:hAnsi="Times New Roman"/>
          <w:b/>
          <w:bCs/>
          <w:i/>
          <w:iCs/>
          <w:sz w:val="20"/>
          <w:szCs w:val="20"/>
        </w:rPr>
        <w:t xml:space="preserve">: </w:t>
      </w:r>
      <w:r>
        <w:rPr>
          <w:rFonts w:hint="eastAsia" w:ascii="Times New Roman" w:hAnsi="Times New Roman"/>
          <w:i/>
          <w:iCs/>
          <w:sz w:val="20"/>
          <w:szCs w:val="20"/>
        </w:rPr>
        <w:t xml:space="preserve">Introduce a new FG 41-2-3 for </w:t>
      </w:r>
      <w:r>
        <w:rPr>
          <w:rFonts w:ascii="Times New Roman" w:hAnsi="Times New Roman"/>
          <w:i/>
          <w:iCs/>
          <w:sz w:val="20"/>
          <w:szCs w:val="20"/>
        </w:rPr>
        <w:t xml:space="preserve">DL PRS </w:t>
      </w:r>
      <w:r>
        <w:rPr>
          <w:rFonts w:hint="eastAsia" w:ascii="Times New Roman" w:hAnsi="Times New Roman"/>
          <w:i/>
          <w:iCs/>
          <w:sz w:val="20"/>
          <w:szCs w:val="20"/>
        </w:rPr>
        <w:t>measurement within the indicated time window(s):</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PRS processing capability {N3, T</w:t>
      </w:r>
      <w:r>
        <w:rPr>
          <w:rFonts w:hint="eastAsia" w:ascii="Times New Roman" w:hAnsi="Times New Roman"/>
          <w:i/>
          <w:iCs/>
          <w:sz w:val="20"/>
          <w:szCs w:val="20"/>
          <w:vertAlign w:val="subscript"/>
        </w:rPr>
        <w:t>CPM</w:t>
      </w:r>
      <w:r>
        <w:rPr>
          <w:rFonts w:hint="eastAsia" w:ascii="Times New Roman" w:hAnsi="Times New Roman"/>
          <w:i/>
          <w:iCs/>
          <w:sz w:val="20"/>
          <w:szCs w:val="20"/>
        </w:rPr>
        <w:t xml:space="preserve">} for </w:t>
      </w:r>
      <w:r>
        <w:rPr>
          <w:rFonts w:ascii="Times New Roman" w:hAnsi="Times New Roman"/>
          <w:i/>
          <w:iCs/>
          <w:sz w:val="20"/>
          <w:szCs w:val="20"/>
        </w:rPr>
        <w:t xml:space="preserve">DL PRS </w:t>
      </w:r>
      <w:r>
        <w:rPr>
          <w:rFonts w:hint="eastAsia" w:ascii="Times New Roman" w:hAnsi="Times New Roman"/>
          <w:i/>
          <w:iCs/>
          <w:sz w:val="20"/>
          <w:szCs w:val="20"/>
        </w:rPr>
        <w:t xml:space="preserve">measurement within the indicated time window(s). </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FFS: The candidate values of N3.</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maximum d</w:t>
      </w:r>
      <w:r>
        <w:rPr>
          <w:rFonts w:ascii="Times New Roman" w:hAnsi="Times New Roman"/>
          <w:i/>
          <w:iCs/>
          <w:sz w:val="20"/>
          <w:szCs w:val="20"/>
        </w:rPr>
        <w:t xml:space="preserve">uration of DL PRS symbols N4 in units of ms </w:t>
      </w:r>
      <w:r>
        <w:rPr>
          <w:rFonts w:hint="eastAsia" w:ascii="Times New Roman" w:hAnsi="Times New Roman"/>
          <w:i/>
          <w:iCs/>
          <w:sz w:val="20"/>
          <w:szCs w:val="20"/>
        </w:rPr>
        <w:t xml:space="preserve">in </w:t>
      </w:r>
      <w:r>
        <w:rPr>
          <w:rFonts w:ascii="Times New Roman" w:hAnsi="Times New Roman"/>
          <w:i/>
          <w:iCs/>
          <w:sz w:val="20"/>
          <w:szCs w:val="20"/>
        </w:rPr>
        <w:t>each indicated time window</w:t>
      </w:r>
      <w:r>
        <w:rPr>
          <w:rFonts w:hint="eastAsia" w:ascii="Times New Roman" w:hAnsi="Times New Roman"/>
          <w:i/>
          <w:iCs/>
          <w:sz w:val="20"/>
          <w:szCs w:val="20"/>
        </w:rPr>
        <w:t>.</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The maximum duration of DL PRS symbols can be determined based on UE</w:t>
      </w:r>
      <w:r>
        <w:rPr>
          <w:rFonts w:ascii="Times New Roman" w:hAnsi="Times New Roman"/>
          <w:i/>
          <w:iCs/>
          <w:sz w:val="20"/>
          <w:szCs w:val="20"/>
        </w:rPr>
        <w:t>’</w:t>
      </w:r>
      <w:r>
        <w:rPr>
          <w:rFonts w:hint="eastAsia" w:ascii="Times New Roman" w:hAnsi="Times New Roman"/>
          <w:i/>
          <w:iCs/>
          <w:sz w:val="20"/>
          <w:szCs w:val="20"/>
        </w:rPr>
        <w:t>s capability. FFS: The candidate values of N4.</w:t>
      </w:r>
    </w:p>
    <w:p>
      <w:pPr>
        <w:snapToGrid w:val="0"/>
        <w:spacing w:before="120" w:after="120" w:line="240" w:lineRule="auto"/>
        <w:rPr>
          <w:rFonts w:ascii="Times New Roman" w:hAnsi="Times New Roman"/>
          <w:i/>
          <w:iCs/>
          <w:sz w:val="20"/>
          <w:szCs w:val="20"/>
        </w:rPr>
      </w:pPr>
    </w:p>
    <w:p>
      <w:pPr>
        <w:snapToGrid w:val="0"/>
        <w:spacing w:before="120" w:after="120" w:line="240" w:lineRule="auto"/>
        <w:rPr>
          <w:rFonts w:ascii="Times New Roman" w:hAnsi="Times New Roman"/>
          <w:i/>
          <w:iCs/>
          <w:sz w:val="20"/>
          <w:szCs w:val="20"/>
        </w:rPr>
      </w:pPr>
      <w:r>
        <w:rPr>
          <w:rFonts w:ascii="Times New Roman" w:hAnsi="Times New Roman"/>
          <w:b/>
          <w:bCs/>
          <w:i/>
          <w:iCs/>
          <w:sz w:val="20"/>
          <w:szCs w:val="20"/>
          <w:lang w:val="en-GB" w:eastAsia="sv-SE"/>
        </w:rPr>
        <w:t xml:space="preserve">Proposal </w:t>
      </w:r>
      <w:r>
        <w:rPr>
          <w:rFonts w:ascii="Times New Roman" w:hAnsi="Times New Roman"/>
          <w:b/>
          <w:bCs/>
          <w:i/>
          <w:iCs/>
          <w:sz w:val="20"/>
          <w:szCs w:val="20"/>
          <w:lang w:val="en-GB" w:eastAsia="sv-SE"/>
        </w:rPr>
        <w:fldChar w:fldCharType="begin"/>
      </w:r>
      <w:r>
        <w:rPr>
          <w:rFonts w:ascii="Times New Roman" w:hAnsi="Times New Roman"/>
          <w:b/>
          <w:bCs/>
          <w:i/>
          <w:iCs/>
          <w:sz w:val="20"/>
          <w:szCs w:val="20"/>
          <w:lang w:val="en-GB" w:eastAsia="sv-SE"/>
        </w:rPr>
        <w:instrText xml:space="preserve"> SEQ Proposal \* ARABIC </w:instrText>
      </w:r>
      <w:r>
        <w:rPr>
          <w:rFonts w:ascii="Times New Roman" w:hAnsi="Times New Roman"/>
          <w:b/>
          <w:bCs/>
          <w:i/>
          <w:iCs/>
          <w:sz w:val="20"/>
          <w:szCs w:val="20"/>
          <w:lang w:val="en-GB" w:eastAsia="sv-SE"/>
        </w:rPr>
        <w:fldChar w:fldCharType="separate"/>
      </w:r>
      <w:r>
        <w:rPr>
          <w:rFonts w:ascii="Times New Roman" w:hAnsi="Times New Roman"/>
          <w:b/>
          <w:bCs/>
          <w:i/>
          <w:iCs/>
          <w:sz w:val="20"/>
          <w:szCs w:val="20"/>
          <w:lang w:val="en-GB" w:eastAsia="sv-SE"/>
        </w:rPr>
        <w:t>10</w:t>
      </w:r>
      <w:r>
        <w:rPr>
          <w:rFonts w:ascii="Times New Roman" w:hAnsi="Times New Roman"/>
          <w:b/>
          <w:bCs/>
          <w:i/>
          <w:iCs/>
          <w:sz w:val="20"/>
          <w:szCs w:val="20"/>
          <w:lang w:val="en-GB" w:eastAsia="sv-SE"/>
        </w:rPr>
        <w:fldChar w:fldCharType="end"/>
      </w:r>
      <w:r>
        <w:rPr>
          <w:rFonts w:hint="eastAsia" w:ascii="Times New Roman" w:hAnsi="Times New Roman"/>
          <w:b/>
          <w:bCs/>
          <w:i/>
          <w:iCs/>
          <w:sz w:val="20"/>
          <w:szCs w:val="20"/>
        </w:rPr>
        <w:t xml:space="preserve">: </w:t>
      </w:r>
      <w:r>
        <w:rPr>
          <w:rFonts w:hint="eastAsia" w:ascii="Times New Roman" w:hAnsi="Times New Roman"/>
          <w:i/>
          <w:iCs/>
          <w:sz w:val="20"/>
          <w:szCs w:val="20"/>
        </w:rPr>
        <w:t>Introduce a new FG 41-2-4 for UL SRS transmission within the indicated time window(s):</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capability {N3, T</w:t>
      </w:r>
      <w:r>
        <w:rPr>
          <w:rFonts w:hint="eastAsia" w:ascii="Times New Roman" w:hAnsi="Times New Roman"/>
          <w:i/>
          <w:iCs/>
          <w:sz w:val="20"/>
          <w:szCs w:val="20"/>
          <w:vertAlign w:val="subscript"/>
        </w:rPr>
        <w:t>SRS</w:t>
      </w:r>
      <w:r>
        <w:rPr>
          <w:rFonts w:hint="eastAsia" w:ascii="Times New Roman" w:hAnsi="Times New Roman"/>
          <w:i/>
          <w:iCs/>
          <w:sz w:val="20"/>
          <w:szCs w:val="20"/>
        </w:rPr>
        <w:t xml:space="preserve">} for UL SRS transmission within the indicated time window(s). </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FFS: The candidate values of N3 and T</w:t>
      </w:r>
      <w:r>
        <w:rPr>
          <w:rFonts w:hint="eastAsia" w:ascii="Times New Roman" w:hAnsi="Times New Roman"/>
          <w:i/>
          <w:iCs/>
          <w:sz w:val="20"/>
          <w:szCs w:val="20"/>
          <w:vertAlign w:val="subscript"/>
        </w:rPr>
        <w:t>SRS</w:t>
      </w:r>
      <w:r>
        <w:rPr>
          <w:rFonts w:hint="eastAsia" w:ascii="Times New Roman" w:hAnsi="Times New Roman"/>
          <w:i/>
          <w:iCs/>
          <w:sz w:val="20"/>
          <w:szCs w:val="20"/>
        </w:rPr>
        <w:t>.</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maximum d</w:t>
      </w:r>
      <w:r>
        <w:rPr>
          <w:rFonts w:ascii="Times New Roman" w:hAnsi="Times New Roman"/>
          <w:i/>
          <w:iCs/>
          <w:sz w:val="20"/>
          <w:szCs w:val="20"/>
        </w:rPr>
        <w:t xml:space="preserve">uration of </w:t>
      </w:r>
      <w:r>
        <w:rPr>
          <w:rFonts w:hint="eastAsia" w:ascii="Times New Roman" w:hAnsi="Times New Roman"/>
          <w:i/>
          <w:iCs/>
          <w:sz w:val="20"/>
          <w:szCs w:val="20"/>
        </w:rPr>
        <w:t xml:space="preserve">UL SRS </w:t>
      </w:r>
      <w:r>
        <w:rPr>
          <w:rFonts w:ascii="Times New Roman" w:hAnsi="Times New Roman"/>
          <w:i/>
          <w:iCs/>
          <w:sz w:val="20"/>
          <w:szCs w:val="20"/>
        </w:rPr>
        <w:t xml:space="preserve">symbols N4 in units of ms </w:t>
      </w:r>
      <w:r>
        <w:rPr>
          <w:rFonts w:hint="eastAsia" w:ascii="Times New Roman" w:hAnsi="Times New Roman"/>
          <w:i/>
          <w:iCs/>
          <w:sz w:val="20"/>
          <w:szCs w:val="20"/>
        </w:rPr>
        <w:t xml:space="preserve">in </w:t>
      </w:r>
      <w:r>
        <w:rPr>
          <w:rFonts w:ascii="Times New Roman" w:hAnsi="Times New Roman"/>
          <w:i/>
          <w:iCs/>
          <w:sz w:val="20"/>
          <w:szCs w:val="20"/>
        </w:rPr>
        <w:t>each indicated time window</w:t>
      </w:r>
      <w:r>
        <w:rPr>
          <w:rFonts w:hint="eastAsia" w:ascii="Times New Roman" w:hAnsi="Times New Roman"/>
          <w:i/>
          <w:iCs/>
          <w:sz w:val="20"/>
          <w:szCs w:val="20"/>
        </w:rPr>
        <w:t>.</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The maximum duration of UL SRS symbols can be determined based on UE</w:t>
      </w:r>
      <w:r>
        <w:rPr>
          <w:rFonts w:ascii="Times New Roman" w:hAnsi="Times New Roman"/>
          <w:i/>
          <w:iCs/>
          <w:sz w:val="20"/>
          <w:szCs w:val="20"/>
        </w:rPr>
        <w:t>’</w:t>
      </w:r>
      <w:r>
        <w:rPr>
          <w:rFonts w:hint="eastAsia" w:ascii="Times New Roman" w:hAnsi="Times New Roman"/>
          <w:i/>
          <w:iCs/>
          <w:sz w:val="20"/>
          <w:szCs w:val="20"/>
        </w:rPr>
        <w:t>s capability. FFS: The candidate values of N4.</w:t>
      </w:r>
    </w:p>
    <w:tbl>
      <w:tblPr>
        <w:tblStyle w:val="27"/>
        <w:tblW w:w="22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695"/>
        <w:gridCol w:w="4590"/>
        <w:gridCol w:w="1275"/>
        <w:gridCol w:w="1200"/>
        <w:gridCol w:w="1215"/>
        <w:gridCol w:w="1425"/>
        <w:gridCol w:w="2175"/>
        <w:gridCol w:w="1497"/>
        <w:gridCol w:w="1462"/>
        <w:gridCol w:w="1238"/>
        <w:gridCol w:w="1950"/>
        <w:gridCol w:w="1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Index</w:t>
            </w:r>
          </w:p>
        </w:tc>
        <w:tc>
          <w:tcPr>
            <w:tcW w:w="16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Feature group</w:t>
            </w:r>
          </w:p>
        </w:tc>
        <w:tc>
          <w:tcPr>
            <w:tcW w:w="4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Components</w:t>
            </w:r>
          </w:p>
        </w:tc>
        <w:tc>
          <w:tcPr>
            <w:tcW w:w="12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Prerequisite feature groups</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for the gNB to know if the feature is supported</w:t>
            </w:r>
          </w:p>
        </w:tc>
        <w:tc>
          <w:tcPr>
            <w:tcW w:w="12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Gulim" w:cs="Arial"/>
                <w:b/>
                <w:color w:val="000000"/>
                <w:sz w:val="18"/>
                <w:szCs w:val="18"/>
                <w:lang w:val="en-GB" w:eastAsia="ja-JP"/>
              </w:rPr>
              <w:t xml:space="preserve">Applicable to </w:t>
            </w:r>
            <w:r>
              <w:rPr>
                <w:rFonts w:ascii="Arial" w:hAnsi="Arial" w:eastAsia="Times New Roman" w:cs="Arial"/>
                <w:b/>
                <w:color w:val="000000"/>
                <w:sz w:val="18"/>
                <w:szCs w:val="18"/>
                <w:lang w:val="en-GB" w:eastAsia="ja-JP"/>
              </w:rPr>
              <w:t>the capability signalling exchange between UEs (Sidelink WI only)”.</w:t>
            </w:r>
          </w:p>
        </w:tc>
        <w:tc>
          <w:tcPr>
            <w:tcW w:w="1425"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Consequence if the feature is not supported by the UE</w:t>
            </w:r>
          </w:p>
        </w:tc>
        <w:tc>
          <w:tcPr>
            <w:tcW w:w="2175"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Type</w:t>
            </w:r>
          </w:p>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(the ‘type’ definition from UE features should be based on the granularity of 1) Per UE or 2) Per Band or 3) Per BC or 4) Per FS or 5) Per FSPC)</w:t>
            </w:r>
          </w:p>
        </w:tc>
        <w:tc>
          <w:tcPr>
            <w:tcW w:w="1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FDD/TDD differentiation</w:t>
            </w:r>
          </w:p>
        </w:tc>
        <w:tc>
          <w:tcPr>
            <w:tcW w:w="1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FR1/FR2 differentiation</w:t>
            </w:r>
          </w:p>
        </w:tc>
        <w:tc>
          <w:tcPr>
            <w:tcW w:w="123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Capability interpretation for mixture of FDD/TDD and/or FR1/FR2</w:t>
            </w:r>
          </w:p>
        </w:tc>
        <w:tc>
          <w:tcPr>
            <w:tcW w:w="19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Note</w:t>
            </w:r>
          </w:p>
        </w:tc>
        <w:tc>
          <w:tcPr>
            <w:tcW w:w="15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hint="eastAsia" w:ascii="Times New Roman" w:hAnsi="Times New Roman"/>
                <w:szCs w:val="18"/>
              </w:rPr>
              <w:t>41-2-1</w:t>
            </w:r>
          </w:p>
        </w:tc>
        <w:tc>
          <w:tcPr>
            <w:tcW w:w="169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szCs w:val="18"/>
              </w:rPr>
              <w:t xml:space="preserve">DL PRS carrier phase </w:t>
            </w:r>
            <w:r>
              <w:rPr>
                <w:rFonts w:hint="eastAsia" w:ascii="Times New Roman" w:hAnsi="Times New Roman"/>
                <w:szCs w:val="18"/>
              </w:rPr>
              <w:t>m</w:t>
            </w:r>
            <w:r>
              <w:rPr>
                <w:rFonts w:ascii="Times New Roman" w:hAnsi="Times New Roman"/>
                <w:szCs w:val="18"/>
              </w:rPr>
              <w:t xml:space="preserve">easurement </w:t>
            </w:r>
            <w:r>
              <w:rPr>
                <w:rFonts w:hint="eastAsia" w:ascii="Times New Roman" w:hAnsi="Times New Roman"/>
                <w:color w:val="C00000"/>
                <w:szCs w:val="18"/>
              </w:rPr>
              <w:t>in MG</w:t>
            </w:r>
          </w:p>
        </w:tc>
        <w:tc>
          <w:tcPr>
            <w:tcW w:w="4590" w:type="dxa"/>
            <w:tcBorders>
              <w:top w:val="single" w:color="auto" w:sz="4" w:space="0"/>
              <w:left w:val="single" w:color="auto" w:sz="4" w:space="0"/>
              <w:bottom w:val="single" w:color="auto" w:sz="4" w:space="0"/>
              <w:right w:val="single" w:color="auto" w:sz="4" w:space="0"/>
            </w:tcBorders>
          </w:tcPr>
          <w:p>
            <w:pPr>
              <w:pStyle w:val="62"/>
              <w:numPr>
                <w:ilvl w:val="0"/>
                <w:numId w:val="14"/>
              </w:numPr>
              <w:snapToGrid w:val="0"/>
              <w:spacing w:line="240" w:lineRule="auto"/>
              <w:rPr>
                <w:rFonts w:ascii="Times New Roman" w:hAnsi="Times New Roman"/>
                <w:szCs w:val="18"/>
              </w:rPr>
            </w:pPr>
            <w:r>
              <w:rPr>
                <w:rFonts w:ascii="Times New Roman" w:hAnsi="Times New Roman"/>
                <w:szCs w:val="18"/>
              </w:rPr>
              <w:t xml:space="preserve">Duration of DL PRS symbols </w:t>
            </w:r>
            <w:r>
              <w:rPr>
                <w:rFonts w:ascii="Times New Roman" w:hAnsi="Times New Roman"/>
                <w:color w:val="000000" w:themeColor="text1"/>
                <w:szCs w:val="18"/>
                <w14:textFill>
                  <w14:solidFill>
                    <w14:schemeClr w14:val="tx1"/>
                  </w14:solidFill>
                </w14:textFill>
              </w:rPr>
              <w:t>N</w:t>
            </w:r>
            <w:r>
              <w:rPr>
                <w:rFonts w:hint="eastAsia" w:ascii="Times New Roman" w:hAnsi="Times New Roman"/>
                <w:color w:val="000000" w:themeColor="text1"/>
                <w:szCs w:val="18"/>
                <w:vertAlign w:val="subscript"/>
                <w14:textFill>
                  <w14:solidFill>
                    <w14:schemeClr w14:val="tx1"/>
                  </w14:solidFill>
                </w14:textFill>
              </w:rPr>
              <w:t>CPM</w:t>
            </w:r>
            <w:r>
              <w:rPr>
                <w:rFonts w:ascii="Times New Roman" w:hAnsi="Times New Roman"/>
                <w:szCs w:val="18"/>
              </w:rPr>
              <w:t xml:space="preserve"> in units of ms a UE can process every </w:t>
            </w:r>
            <w:r>
              <w:rPr>
                <w:rFonts w:ascii="Times New Roman" w:hAnsi="Times New Roman"/>
                <w:color w:val="000000" w:themeColor="text1"/>
                <w:szCs w:val="18"/>
                <w14:textFill>
                  <w14:solidFill>
                    <w14:schemeClr w14:val="tx1"/>
                  </w14:solidFill>
                </w14:textFill>
              </w:rPr>
              <w:t>T</w:t>
            </w:r>
            <w:r>
              <w:rPr>
                <w:rFonts w:hint="eastAsia" w:ascii="Times New Roman" w:hAnsi="Times New Roman"/>
                <w:color w:val="000000" w:themeColor="text1"/>
                <w:szCs w:val="18"/>
                <w:vertAlign w:val="subscript"/>
                <w14:textFill>
                  <w14:solidFill>
                    <w14:schemeClr w14:val="tx1"/>
                  </w14:solidFill>
                </w14:textFill>
              </w:rPr>
              <w:t>CPM</w:t>
            </w:r>
            <w:r>
              <w:rPr>
                <w:rFonts w:ascii="Times New Roman" w:hAnsi="Times New Roman"/>
                <w:szCs w:val="18"/>
              </w:rPr>
              <w:t xml:space="preserve"> ms assuming maximum DL PRS bandwidth</w:t>
            </w:r>
            <w:r>
              <w:rPr>
                <w:rFonts w:hint="eastAsia" w:ascii="Times New Roman" w:hAnsi="Times New Roman"/>
                <w:szCs w:val="18"/>
              </w:rPr>
              <w:t xml:space="preserve"> </w:t>
            </w:r>
            <w:r>
              <w:rPr>
                <w:rFonts w:ascii="Times New Roman" w:hAnsi="Times New Roman"/>
                <w:szCs w:val="18"/>
              </w:rPr>
              <w:t>in MHz, which is supported and reported by UE.</w:t>
            </w:r>
          </w:p>
          <w:p>
            <w:pPr>
              <w:pStyle w:val="62"/>
              <w:numPr>
                <w:ilvl w:val="0"/>
                <w:numId w:val="15"/>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T</w:t>
            </w:r>
            <w:r>
              <w:rPr>
                <w:rFonts w:hint="eastAsia" w:ascii="Times New Roman" w:hAnsi="Times New Roman"/>
                <w:color w:val="000000" w:themeColor="text1"/>
                <w:szCs w:val="18"/>
                <w:vertAlign w:val="subscript"/>
                <w14:textFill>
                  <w14:solidFill>
                    <w14:schemeClr w14:val="tx1"/>
                  </w14:solidFill>
                </w14:textFill>
              </w:rPr>
              <w:t>CPM</w:t>
            </w:r>
            <w:r>
              <w:rPr>
                <w:rFonts w:ascii="Times New Roman" w:hAnsi="Times New Roman"/>
                <w:color w:val="000000" w:themeColor="text1"/>
                <w:szCs w:val="18"/>
                <w:vertAlign w:val="subscript"/>
                <w14:textFill>
                  <w14:solidFill>
                    <w14:schemeClr w14:val="tx1"/>
                  </w14:solidFill>
                </w14:textFill>
              </w:rPr>
              <w:t xml:space="preserve"> </w:t>
            </w:r>
            <w:r>
              <w:rPr>
                <w:rFonts w:ascii="Times New Roman" w:hAnsi="Times New Roman"/>
                <w:szCs w:val="18"/>
              </w:rPr>
              <w:t xml:space="preserve">: </w:t>
            </w:r>
            <w:r>
              <w:rPr>
                <w:rFonts w:ascii="Times New Roman" w:hAnsi="Times New Roman"/>
                <w:color w:val="000000" w:themeColor="text1"/>
                <w:szCs w:val="18"/>
                <w14:textFill>
                  <w14:solidFill>
                    <w14:schemeClr w14:val="tx1"/>
                  </w14:solidFill>
                </w14:textFill>
              </w:rPr>
              <w:t>{1, 2, 4, 8, 16, 20, 30, 40, 80, 160, 320, 640, 1280} ms</w:t>
            </w:r>
          </w:p>
          <w:p>
            <w:pPr>
              <w:pStyle w:val="62"/>
              <w:numPr>
                <w:ilvl w:val="0"/>
                <w:numId w:val="15"/>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w:t>
            </w:r>
            <w:r>
              <w:rPr>
                <w:rFonts w:hint="eastAsia" w:ascii="Times New Roman" w:hAnsi="Times New Roman"/>
                <w:color w:val="000000" w:themeColor="text1"/>
                <w:szCs w:val="18"/>
                <w:vertAlign w:val="subscript"/>
                <w14:textFill>
                  <w14:solidFill>
                    <w14:schemeClr w14:val="tx1"/>
                  </w14:solidFill>
                </w14:textFill>
              </w:rPr>
              <w:t>CPM</w:t>
            </w:r>
            <w:r>
              <w:rPr>
                <w:rFonts w:ascii="Times New Roman" w:hAnsi="Times New Roman"/>
                <w:color w:val="000000" w:themeColor="text1"/>
                <w:szCs w:val="18"/>
                <w14:textFill>
                  <w14:solidFill>
                    <w14:schemeClr w14:val="tx1"/>
                  </w14:solidFill>
                </w14:textFill>
              </w:rPr>
              <w:t xml:space="preserve"> : {0.125, 0.25, 0.5, 1, 2, 4, 6, 8, 12, 16, 20, 25, 30, 32, 35, 40, 45, 50} ms</w:t>
            </w:r>
          </w:p>
          <w:p>
            <w:pPr>
              <w:pStyle w:val="62"/>
              <w:snapToGrid w:val="0"/>
              <w:spacing w:line="240" w:lineRule="auto"/>
              <w:ind w:left="220" w:leftChars="100"/>
              <w:rPr>
                <w:rFonts w:ascii="Times New Roman" w:hAnsi="Times New Roman"/>
                <w:b/>
                <w:bCs/>
                <w:szCs w:val="18"/>
              </w:rPr>
            </w:pPr>
          </w:p>
          <w:p>
            <w:pPr>
              <w:pStyle w:val="62"/>
              <w:snapToGrid w:val="0"/>
              <w:spacing w:line="240" w:lineRule="auto"/>
              <w:ind w:left="220" w:leftChars="100"/>
              <w:rPr>
                <w:rFonts w:ascii="Times New Roman" w:hAnsi="Times New Roman"/>
                <w:color w:val="000000" w:themeColor="text1"/>
                <w:szCs w:val="18"/>
                <w14:textFill>
                  <w14:solidFill>
                    <w14:schemeClr w14:val="tx1"/>
                  </w14:solidFill>
                </w14:textFill>
              </w:rPr>
            </w:pPr>
            <w:r>
              <w:rPr>
                <w:rFonts w:ascii="Times New Roman" w:hAnsi="Times New Roman"/>
                <w:b/>
                <w:bCs/>
                <w:szCs w:val="18"/>
              </w:rPr>
              <w:t>Note</w:t>
            </w:r>
            <w:r>
              <w:rPr>
                <w:rFonts w:hint="eastAsia" w:ascii="Times New Roman" w:hAnsi="Times New Roman"/>
                <w:b/>
                <w:bCs/>
                <w:szCs w:val="18"/>
              </w:rPr>
              <w:t>1</w:t>
            </w:r>
            <w:r>
              <w:rPr>
                <w:rFonts w:ascii="Times New Roman" w:hAnsi="Times New Roman"/>
                <w:b/>
                <w:bCs/>
                <w:szCs w:val="18"/>
              </w:rPr>
              <w:t>:</w:t>
            </w:r>
            <w:r>
              <w:rPr>
                <w:rFonts w:ascii="Times New Roman" w:hAnsi="Times New Roman"/>
                <w:szCs w:val="18"/>
              </w:rPr>
              <w:t xml:space="preserve"> </w:t>
            </w:r>
            <w:r>
              <w:rPr>
                <w:rFonts w:ascii="Times New Roman" w:hAnsi="Times New Roman"/>
                <w:color w:val="000000" w:themeColor="text1"/>
                <w:szCs w:val="18"/>
                <w14:textFill>
                  <w14:solidFill>
                    <w14:schemeClr w14:val="tx1"/>
                  </w14:solidFill>
                </w14:textFill>
              </w:rPr>
              <w:t>N</w:t>
            </w:r>
            <w:r>
              <w:rPr>
                <w:rFonts w:hint="eastAsia" w:ascii="Times New Roman" w:hAnsi="Times New Roman"/>
                <w:color w:val="000000" w:themeColor="text1"/>
                <w:szCs w:val="18"/>
                <w:vertAlign w:val="subscript"/>
                <w14:textFill>
                  <w14:solidFill>
                    <w14:schemeClr w14:val="tx1"/>
                  </w14:solidFill>
                </w14:textFill>
              </w:rPr>
              <w:t>CPM</w:t>
            </w:r>
            <w:r>
              <w:rPr>
                <w:rFonts w:ascii="Times New Roman" w:hAnsi="Times New Roman"/>
                <w:szCs w:val="18"/>
              </w:rPr>
              <w:t xml:space="preserve"> ≤ N or </w:t>
            </w:r>
            <w:r>
              <w:rPr>
                <w:rFonts w:ascii="Times New Roman" w:hAnsi="Times New Roman"/>
                <w:color w:val="000000" w:themeColor="text1"/>
                <w:szCs w:val="18"/>
                <w14:textFill>
                  <w14:solidFill>
                    <w14:schemeClr w14:val="tx1"/>
                  </w14:solidFill>
                </w14:textFill>
              </w:rPr>
              <w:t>T</w:t>
            </w:r>
            <w:r>
              <w:rPr>
                <w:rFonts w:hint="eastAsia" w:ascii="Times New Roman" w:hAnsi="Times New Roman"/>
                <w:color w:val="000000" w:themeColor="text1"/>
                <w:szCs w:val="18"/>
                <w:vertAlign w:val="subscript"/>
                <w14:textFill>
                  <w14:solidFill>
                    <w14:schemeClr w14:val="tx1"/>
                  </w14:solidFill>
                </w14:textFill>
              </w:rPr>
              <w:t>CPM</w:t>
            </w:r>
            <w:r>
              <w:rPr>
                <w:rFonts w:ascii="Times New Roman" w:hAnsi="Times New Roman"/>
                <w:szCs w:val="18"/>
              </w:rPr>
              <w:t>≥ T, where {N, T} is reported by FG 13-1</w:t>
            </w:r>
          </w:p>
          <w:p>
            <w:pPr>
              <w:pStyle w:val="62"/>
              <w:snapToGrid w:val="0"/>
              <w:spacing w:line="240" w:lineRule="auto"/>
              <w:rPr>
                <w:rFonts w:ascii="Times New Roman" w:hAnsi="Times New Roman"/>
                <w:szCs w:val="18"/>
              </w:rPr>
            </w:pPr>
          </w:p>
          <w:p>
            <w:pPr>
              <w:pStyle w:val="62"/>
              <w:numPr>
                <w:ilvl w:val="0"/>
                <w:numId w:val="14"/>
              </w:numPr>
              <w:snapToGrid w:val="0"/>
              <w:spacing w:line="240" w:lineRule="auto"/>
              <w:rPr>
                <w:rFonts w:ascii="Times New Roman" w:hAnsi="Times New Roman"/>
                <w:szCs w:val="18"/>
              </w:rPr>
            </w:pPr>
            <w:r>
              <w:rPr>
                <w:rFonts w:ascii="Times New Roman" w:hAnsi="Times New Roman"/>
                <w:szCs w:val="18"/>
              </w:rPr>
              <w:t xml:space="preserve">Max number of DL PRS resources </w:t>
            </w:r>
            <w:r>
              <w:rPr>
                <w:rFonts w:ascii="Times New Roman" w:hAnsi="Times New Roman"/>
                <w:b/>
                <w:bCs/>
                <w:szCs w:val="18"/>
              </w:rPr>
              <w:t>M</w:t>
            </w:r>
            <w:r>
              <w:rPr>
                <w:rFonts w:hint="eastAsia" w:ascii="Times New Roman" w:hAnsi="Times New Roman"/>
                <w:b/>
                <w:bCs/>
                <w:szCs w:val="18"/>
                <w:vertAlign w:val="subscript"/>
              </w:rPr>
              <w:t>CPM</w:t>
            </w:r>
            <w:r>
              <w:rPr>
                <w:rFonts w:ascii="Times New Roman" w:hAnsi="Times New Roman"/>
                <w:szCs w:val="18"/>
              </w:rPr>
              <w:t xml:space="preserve"> that UE can process in a slot under it</w:t>
            </w:r>
          </w:p>
          <w:p>
            <w:pPr>
              <w:pStyle w:val="62"/>
              <w:snapToGrid w:val="0"/>
              <w:spacing w:line="240" w:lineRule="auto"/>
              <w:ind w:left="599" w:hanging="283"/>
              <w:rPr>
                <w:rFonts w:ascii="Times New Roman" w:hAnsi="Times New Roman"/>
                <w:szCs w:val="18"/>
              </w:rPr>
            </w:pPr>
            <w:r>
              <w:rPr>
                <w:rFonts w:ascii="Times New Roman" w:hAnsi="Times New Roman"/>
                <w:szCs w:val="18"/>
              </w:rPr>
              <w:t>a)</w:t>
            </w:r>
            <w:r>
              <w:rPr>
                <w:rFonts w:ascii="Times New Roman" w:hAnsi="Times New Roman"/>
                <w:szCs w:val="18"/>
              </w:rPr>
              <w:tab/>
            </w:r>
            <w:r>
              <w:rPr>
                <w:rFonts w:ascii="Times New Roman" w:hAnsi="Times New Roman"/>
                <w:szCs w:val="18"/>
              </w:rPr>
              <w:t>FR1 bands: {1, 2, 4, 6, 8, 12, 16, 24, 32, 48, 64} for each SCS: 15kHz, 30kHz, 60kHz</w:t>
            </w:r>
          </w:p>
          <w:p>
            <w:pPr>
              <w:pStyle w:val="62"/>
              <w:snapToGrid w:val="0"/>
              <w:spacing w:line="240" w:lineRule="auto"/>
              <w:ind w:left="599" w:hanging="283"/>
              <w:rPr>
                <w:rFonts w:ascii="Times New Roman" w:hAnsi="Times New Roman"/>
                <w:szCs w:val="18"/>
              </w:rPr>
            </w:pPr>
            <w:r>
              <w:rPr>
                <w:rFonts w:ascii="Times New Roman" w:hAnsi="Times New Roman"/>
                <w:szCs w:val="18"/>
              </w:rPr>
              <w:t>b)</w:t>
            </w:r>
            <w:r>
              <w:rPr>
                <w:rFonts w:ascii="Times New Roman" w:hAnsi="Times New Roman"/>
                <w:szCs w:val="18"/>
              </w:rPr>
              <w:tab/>
            </w:r>
            <w:r>
              <w:rPr>
                <w:rFonts w:ascii="Times New Roman" w:hAnsi="Times New Roman"/>
                <w:szCs w:val="18"/>
              </w:rPr>
              <w:t>FR2 bands: {1, 2, 4, 6, 8, 12, 16, 24, 32, 48, 64} for each SCS: 60kHz, 120kHz</w:t>
            </w:r>
          </w:p>
          <w:p>
            <w:pPr>
              <w:pStyle w:val="62"/>
              <w:snapToGrid w:val="0"/>
              <w:spacing w:line="240" w:lineRule="auto"/>
              <w:rPr>
                <w:rFonts w:ascii="Times New Roman" w:hAnsi="Times New Roman"/>
                <w:szCs w:val="18"/>
              </w:rPr>
            </w:pPr>
            <w:r>
              <w:rPr>
                <w:rFonts w:ascii="Times New Roman" w:hAnsi="Times New Roman"/>
                <w:szCs w:val="18"/>
              </w:rPr>
              <w:t xml:space="preserve">   </w:t>
            </w:r>
          </w:p>
          <w:p>
            <w:pPr>
              <w:pStyle w:val="62"/>
              <w:snapToGrid w:val="0"/>
              <w:spacing w:line="240" w:lineRule="auto"/>
              <w:ind w:left="220" w:leftChars="100"/>
              <w:rPr>
                <w:rFonts w:ascii="Times New Roman" w:hAnsi="Times New Roman"/>
                <w:szCs w:val="18"/>
              </w:rPr>
            </w:pPr>
            <w:r>
              <w:rPr>
                <w:rFonts w:ascii="Times New Roman" w:hAnsi="Times New Roman"/>
                <w:b/>
                <w:bCs/>
                <w:szCs w:val="18"/>
              </w:rPr>
              <w:t>Note</w:t>
            </w:r>
            <w:r>
              <w:rPr>
                <w:rFonts w:hint="eastAsia" w:ascii="Times New Roman" w:hAnsi="Times New Roman"/>
                <w:b/>
                <w:bCs/>
                <w:szCs w:val="18"/>
              </w:rPr>
              <w:t>2</w:t>
            </w:r>
            <w:r>
              <w:rPr>
                <w:rFonts w:ascii="Times New Roman" w:hAnsi="Times New Roman"/>
                <w:b/>
                <w:bCs/>
                <w:szCs w:val="18"/>
              </w:rPr>
              <w:t>:</w:t>
            </w:r>
            <w:r>
              <w:rPr>
                <w:rFonts w:ascii="Times New Roman" w:hAnsi="Times New Roman"/>
                <w:szCs w:val="18"/>
              </w:rPr>
              <w:t xml:space="preserve"> </w:t>
            </w:r>
            <w:r>
              <w:rPr>
                <w:rFonts w:ascii="Times New Roman" w:hAnsi="Times New Roman"/>
                <w:b/>
                <w:bCs/>
                <w:szCs w:val="18"/>
              </w:rPr>
              <w:t>M</w:t>
            </w:r>
            <w:r>
              <w:rPr>
                <w:rFonts w:hint="eastAsia" w:ascii="Times New Roman" w:hAnsi="Times New Roman"/>
                <w:b/>
                <w:bCs/>
                <w:szCs w:val="18"/>
                <w:vertAlign w:val="subscript"/>
              </w:rPr>
              <w:t>CPM</w:t>
            </w:r>
            <w:r>
              <w:rPr>
                <w:rFonts w:ascii="Times New Roman" w:hAnsi="Times New Roman"/>
                <w:szCs w:val="18"/>
              </w:rPr>
              <w:t xml:space="preserve"> ≤ M, where M is maximum number PRS resources for </w:t>
            </w:r>
            <w:r>
              <w:rPr>
                <w:rFonts w:hint="eastAsia" w:ascii="Times New Roman" w:hAnsi="Times New Roman"/>
                <w:szCs w:val="18"/>
              </w:rPr>
              <w:t>PRS</w:t>
            </w:r>
            <w:r>
              <w:rPr>
                <w:rFonts w:ascii="Times New Roman" w:hAnsi="Times New Roman"/>
                <w:szCs w:val="18"/>
              </w:rPr>
              <w:t xml:space="preserve"> measurement reported by FG 13-1</w:t>
            </w:r>
          </w:p>
          <w:p>
            <w:pPr>
              <w:pStyle w:val="62"/>
              <w:snapToGrid w:val="0"/>
              <w:spacing w:line="240" w:lineRule="auto"/>
              <w:ind w:left="220" w:leftChars="100"/>
              <w:rPr>
                <w:rFonts w:ascii="Times New Roman" w:hAnsi="Times New Roman"/>
                <w:szCs w:val="18"/>
              </w:rPr>
            </w:pPr>
          </w:p>
          <w:p>
            <w:pPr>
              <w:pStyle w:val="62"/>
              <w:snapToGrid w:val="0"/>
              <w:spacing w:line="240" w:lineRule="auto"/>
              <w:ind w:left="220" w:leftChars="100"/>
              <w:rPr>
                <w:rFonts w:ascii="Times New Roman" w:hAnsi="Times New Roman"/>
                <w:szCs w:val="18"/>
              </w:rPr>
            </w:pPr>
            <w:r>
              <w:rPr>
                <w:rFonts w:hint="eastAsia" w:ascii="Times New Roman" w:hAnsi="Times New Roman"/>
                <w:b/>
                <w:bCs/>
                <w:szCs w:val="18"/>
              </w:rPr>
              <w:t>Note3</w:t>
            </w:r>
            <w:r>
              <w:rPr>
                <w:rFonts w:hint="eastAsia" w:ascii="Times New Roman" w:hAnsi="Times New Roman"/>
                <w:szCs w:val="18"/>
              </w:rPr>
              <w:t xml:space="preserve">: RSCPD </w:t>
            </w:r>
            <w:r>
              <w:rPr>
                <w:rFonts w:ascii="Times New Roman" w:hAnsi="Times New Roman"/>
                <w:szCs w:val="18"/>
              </w:rPr>
              <w:t xml:space="preserve">is reported by UE together with </w:t>
            </w:r>
            <w:r>
              <w:rPr>
                <w:rFonts w:hint="eastAsia" w:ascii="Times New Roman" w:hAnsi="Times New Roman"/>
                <w:szCs w:val="18"/>
              </w:rPr>
              <w:t xml:space="preserve">RSTD measurement in </w:t>
            </w:r>
            <w:r>
              <w:rPr>
                <w:rFonts w:ascii="Times New Roman" w:hAnsi="Times New Roman"/>
                <w:szCs w:val="18"/>
              </w:rPr>
              <w:t>DL TDOA</w:t>
            </w:r>
            <w:r>
              <w:rPr>
                <w:rFonts w:hint="eastAsia" w:ascii="Times New Roman" w:hAnsi="Times New Roman"/>
                <w:szCs w:val="18"/>
              </w:rPr>
              <w:t xml:space="preserve">, RSCP </w:t>
            </w:r>
            <w:r>
              <w:rPr>
                <w:rFonts w:ascii="Times New Roman" w:hAnsi="Times New Roman"/>
                <w:szCs w:val="18"/>
              </w:rPr>
              <w:t>is reported by</w:t>
            </w:r>
            <w:r>
              <w:rPr>
                <w:rFonts w:hint="eastAsia" w:ascii="Times New Roman" w:hAnsi="Times New Roman"/>
                <w:szCs w:val="18"/>
              </w:rPr>
              <w:t xml:space="preserve"> </w:t>
            </w:r>
            <w:r>
              <w:rPr>
                <w:rFonts w:ascii="Times New Roman" w:hAnsi="Times New Roman"/>
                <w:szCs w:val="18"/>
              </w:rPr>
              <w:t>UE together with UE Rx–Tx time difference measurement</w:t>
            </w:r>
            <w:r>
              <w:rPr>
                <w:rFonts w:hint="eastAsia" w:ascii="Times New Roman" w:hAnsi="Times New Roman"/>
                <w:szCs w:val="18"/>
              </w:rPr>
              <w:t xml:space="preserve"> in Multi-RTT</w:t>
            </w:r>
            <w:r>
              <w:rPr>
                <w:rFonts w:ascii="Times New Roman" w:hAnsi="Times New Roman"/>
                <w:szCs w:val="18"/>
              </w:rPr>
              <w:t xml:space="preserve"> positioning</w:t>
            </w:r>
            <w:r>
              <w:rPr>
                <w:rFonts w:hint="eastAsia" w:ascii="Times New Roman" w:hAnsi="Times New Roman"/>
                <w:szCs w:val="18"/>
              </w:rPr>
              <w:t>.</w:t>
            </w:r>
          </w:p>
        </w:tc>
        <w:tc>
          <w:tcPr>
            <w:tcW w:w="127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trike/>
                <w:color w:val="000000" w:themeColor="text1"/>
                <w:szCs w:val="18"/>
                <w:highlight w:val="yellow"/>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13-1,13-3, 13-4</w:t>
            </w:r>
          </w:p>
        </w:tc>
        <w:tc>
          <w:tcPr>
            <w:tcW w:w="120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lang w:val="en-GB" w:eastAsia="ja-JP"/>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w:t>
            </w:r>
          </w:p>
        </w:tc>
        <w:tc>
          <w:tcPr>
            <w:tcW w:w="121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2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lang w:val="en-GB"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 xml:space="preserve">DL PRS </w:t>
            </w:r>
            <w:r>
              <w:rPr>
                <w:rFonts w:ascii="Times New Roman" w:hAnsi="Times New Roman"/>
                <w:color w:val="000000" w:themeColor="text1"/>
                <w:szCs w:val="18"/>
                <w14:textFill>
                  <w14:solidFill>
                    <w14:schemeClr w14:val="tx1"/>
                  </w14:solidFill>
                </w14:textFill>
              </w:rPr>
              <w:t xml:space="preserve">carrier phase </w:t>
            </w:r>
            <w:r>
              <w:rPr>
                <w:rFonts w:ascii="Times New Roman" w:hAnsi="Times New Roman"/>
                <w:color w:val="000000" w:themeColor="text1"/>
                <w:szCs w:val="18"/>
                <w:lang w:eastAsia="ja-JP"/>
                <w14:textFill>
                  <w14:solidFill>
                    <w14:schemeClr w14:val="tx1"/>
                  </w14:solidFill>
                </w14:textFill>
              </w:rPr>
              <w:t xml:space="preserve">measurement </w:t>
            </w:r>
            <w:r>
              <w:rPr>
                <w:rFonts w:hint="eastAsia" w:ascii="Times New Roman" w:hAnsi="Times New Roman"/>
                <w:color w:val="000000" w:themeColor="text1"/>
                <w:szCs w:val="18"/>
                <w14:textFill>
                  <w14:solidFill>
                    <w14:schemeClr w14:val="tx1"/>
                  </w14:solidFill>
                </w14:textFill>
              </w:rPr>
              <w:t xml:space="preserve">in MG </w:t>
            </w:r>
            <w:r>
              <w:rPr>
                <w:rFonts w:ascii="Times New Roman" w:hAnsi="Times New Roman"/>
                <w:color w:val="000000" w:themeColor="text1"/>
                <w:szCs w:val="18"/>
                <w:lang w:eastAsia="ja-JP"/>
                <w14:textFill>
                  <w14:solidFill>
                    <w14:schemeClr w14:val="tx1"/>
                  </w14:solidFill>
                </w14:textFill>
              </w:rPr>
              <w:t>is not supported</w:t>
            </w:r>
          </w:p>
        </w:tc>
        <w:tc>
          <w:tcPr>
            <w:tcW w:w="217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lang w:eastAsia="ja-JP"/>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123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195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Need for location server to know if the feature is supported.</w:t>
            </w:r>
          </w:p>
        </w:tc>
        <w:tc>
          <w:tcPr>
            <w:tcW w:w="157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hint="eastAsia" w:ascii="Times New Roman" w:hAnsi="Times New Roman"/>
                <w:szCs w:val="18"/>
              </w:rPr>
              <w:t>41-2-2</w:t>
            </w:r>
          </w:p>
        </w:tc>
        <w:tc>
          <w:tcPr>
            <w:tcW w:w="169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 xml:space="preserve">DL PRS carrier phase </w:t>
            </w:r>
            <w:r>
              <w:rPr>
                <w:rFonts w:hint="eastAsia" w:ascii="Times New Roman" w:hAnsi="Times New Roman"/>
                <w:szCs w:val="18"/>
              </w:rPr>
              <w:t>m</w:t>
            </w:r>
            <w:r>
              <w:rPr>
                <w:rFonts w:ascii="Times New Roman" w:hAnsi="Times New Roman"/>
                <w:szCs w:val="18"/>
              </w:rPr>
              <w:t xml:space="preserve">easurement </w:t>
            </w:r>
            <w:r>
              <w:rPr>
                <w:rFonts w:hint="eastAsia" w:ascii="Times New Roman" w:hAnsi="Times New Roman"/>
                <w:color w:val="C00000"/>
                <w:szCs w:val="18"/>
              </w:rPr>
              <w:t>in RRC inactive state</w:t>
            </w:r>
          </w:p>
        </w:tc>
        <w:tc>
          <w:tcPr>
            <w:tcW w:w="4590" w:type="dxa"/>
            <w:tcBorders>
              <w:top w:val="single" w:color="auto" w:sz="4" w:space="0"/>
              <w:left w:val="single" w:color="auto" w:sz="4" w:space="0"/>
              <w:bottom w:val="single" w:color="auto" w:sz="4" w:space="0"/>
              <w:right w:val="single" w:color="auto" w:sz="4" w:space="0"/>
            </w:tcBorders>
          </w:tcPr>
          <w:p>
            <w:pPr>
              <w:pStyle w:val="62"/>
              <w:numPr>
                <w:ilvl w:val="0"/>
                <w:numId w:val="16"/>
              </w:numPr>
              <w:snapToGrid w:val="0"/>
              <w:spacing w:line="240" w:lineRule="auto"/>
              <w:rPr>
                <w:rFonts w:ascii="Times New Roman" w:hAnsi="Times New Roman"/>
                <w:szCs w:val="18"/>
              </w:rPr>
            </w:pPr>
            <w:r>
              <w:rPr>
                <w:rFonts w:ascii="Times New Roman" w:hAnsi="Times New Roman"/>
                <w:szCs w:val="18"/>
              </w:rPr>
              <w:t xml:space="preserve">Duration of DL PRS symbols </w:t>
            </w:r>
            <w:r>
              <w:rPr>
                <w:rFonts w:ascii="Times New Roman" w:hAnsi="Times New Roman"/>
                <w:color w:val="000000" w:themeColor="text1"/>
                <w:szCs w:val="18"/>
                <w14:textFill>
                  <w14:solidFill>
                    <w14:schemeClr w14:val="tx1"/>
                  </w14:solidFill>
                </w14:textFill>
              </w:rPr>
              <w:t>N</w:t>
            </w:r>
            <w:r>
              <w:rPr>
                <w:rFonts w:hint="eastAsia" w:ascii="Times New Roman" w:hAnsi="Times New Roman"/>
                <w:color w:val="000000" w:themeColor="text1"/>
                <w:szCs w:val="18"/>
                <w:vertAlign w:val="subscript"/>
                <w14:textFill>
                  <w14:solidFill>
                    <w14:schemeClr w14:val="tx1"/>
                  </w14:solidFill>
                </w14:textFill>
              </w:rPr>
              <w:t>CPM</w:t>
            </w:r>
            <w:r>
              <w:rPr>
                <w:rFonts w:ascii="Times New Roman" w:hAnsi="Times New Roman"/>
                <w:szCs w:val="18"/>
              </w:rPr>
              <w:t xml:space="preserve"> in units of ms a UE can process every</w:t>
            </w:r>
            <w:r>
              <w:rPr>
                <w:rFonts w:hint="eastAsia" w:ascii="Times New Roman" w:hAnsi="Times New Roman"/>
                <w:szCs w:val="18"/>
              </w:rPr>
              <w:t xml:space="preserve"> </w:t>
            </w:r>
            <w:r>
              <w:rPr>
                <w:rFonts w:ascii="Times New Roman" w:hAnsi="Times New Roman"/>
                <w:color w:val="000000" w:themeColor="text1"/>
                <w:szCs w:val="18"/>
                <w14:textFill>
                  <w14:solidFill>
                    <w14:schemeClr w14:val="tx1"/>
                  </w14:solidFill>
                </w14:textFill>
              </w:rPr>
              <w:t>T</w:t>
            </w:r>
            <w:r>
              <w:rPr>
                <w:rFonts w:hint="eastAsia" w:ascii="Times New Roman" w:hAnsi="Times New Roman"/>
                <w:color w:val="000000" w:themeColor="text1"/>
                <w:szCs w:val="18"/>
                <w:vertAlign w:val="subscript"/>
                <w14:textFill>
                  <w14:solidFill>
                    <w14:schemeClr w14:val="tx1"/>
                  </w14:solidFill>
                </w14:textFill>
              </w:rPr>
              <w:t>CPM</w:t>
            </w:r>
            <w:r>
              <w:rPr>
                <w:rFonts w:ascii="Times New Roman" w:hAnsi="Times New Roman"/>
                <w:szCs w:val="18"/>
              </w:rPr>
              <w:t xml:space="preserve"> ms assuming maximum DL PRS bandwidth</w:t>
            </w:r>
            <w:r>
              <w:rPr>
                <w:rFonts w:hint="eastAsia" w:ascii="Times New Roman" w:hAnsi="Times New Roman"/>
                <w:szCs w:val="18"/>
              </w:rPr>
              <w:t xml:space="preserve"> in MHz</w:t>
            </w:r>
            <w:r>
              <w:rPr>
                <w:rFonts w:ascii="Times New Roman" w:hAnsi="Times New Roman"/>
                <w:szCs w:val="18"/>
              </w:rPr>
              <w:t>, which is supported and reported by UE.</w:t>
            </w:r>
          </w:p>
          <w:p>
            <w:pPr>
              <w:pStyle w:val="62"/>
              <w:numPr>
                <w:ilvl w:val="0"/>
                <w:numId w:val="17"/>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T</w:t>
            </w:r>
            <w:r>
              <w:rPr>
                <w:rFonts w:hint="eastAsia" w:ascii="Times New Roman" w:hAnsi="Times New Roman"/>
                <w:color w:val="000000" w:themeColor="text1"/>
                <w:szCs w:val="18"/>
                <w:vertAlign w:val="subscript"/>
                <w14:textFill>
                  <w14:solidFill>
                    <w14:schemeClr w14:val="tx1"/>
                  </w14:solidFill>
                </w14:textFill>
              </w:rPr>
              <w:t>CPM</w:t>
            </w:r>
            <w:r>
              <w:rPr>
                <w:rFonts w:ascii="Times New Roman" w:hAnsi="Times New Roman"/>
                <w:color w:val="000000" w:themeColor="text1"/>
                <w:szCs w:val="18"/>
                <w:vertAlign w:val="subscript"/>
                <w14:textFill>
                  <w14:solidFill>
                    <w14:schemeClr w14:val="tx1"/>
                  </w14:solidFill>
                </w14:textFill>
              </w:rPr>
              <w:t xml:space="preserve"> </w:t>
            </w:r>
            <w:r>
              <w:rPr>
                <w:rFonts w:ascii="Times New Roman" w:hAnsi="Times New Roman"/>
                <w:szCs w:val="18"/>
              </w:rPr>
              <w:t xml:space="preserve">: </w:t>
            </w:r>
            <w:r>
              <w:rPr>
                <w:rFonts w:ascii="Times New Roman" w:hAnsi="Times New Roman"/>
                <w:color w:val="000000" w:themeColor="text1"/>
                <w:szCs w:val="18"/>
                <w14:textFill>
                  <w14:solidFill>
                    <w14:schemeClr w14:val="tx1"/>
                  </w14:solidFill>
                </w14:textFill>
              </w:rPr>
              <w:t>{1, 2, 4, 8, 16, 20, 30, 40, 80, 160, 320, 640, 1280} ms</w:t>
            </w:r>
          </w:p>
          <w:p>
            <w:pPr>
              <w:pStyle w:val="62"/>
              <w:numPr>
                <w:ilvl w:val="0"/>
                <w:numId w:val="17"/>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w:t>
            </w:r>
            <w:r>
              <w:rPr>
                <w:rFonts w:hint="eastAsia" w:ascii="Times New Roman" w:hAnsi="Times New Roman"/>
                <w:color w:val="000000" w:themeColor="text1"/>
                <w:szCs w:val="18"/>
                <w:vertAlign w:val="subscript"/>
                <w14:textFill>
                  <w14:solidFill>
                    <w14:schemeClr w14:val="tx1"/>
                  </w14:solidFill>
                </w14:textFill>
              </w:rPr>
              <w:t>CPM</w:t>
            </w:r>
            <w:r>
              <w:rPr>
                <w:rFonts w:ascii="Times New Roman" w:hAnsi="Times New Roman"/>
                <w:color w:val="000000" w:themeColor="text1"/>
                <w:szCs w:val="18"/>
                <w14:textFill>
                  <w14:solidFill>
                    <w14:schemeClr w14:val="tx1"/>
                  </w14:solidFill>
                </w14:textFill>
              </w:rPr>
              <w:t xml:space="preserve"> : {0.125, 0.25, 0.5, 1, 2, 4, 6, 8, 12, 16, 20, 25, 30, 32, 35, 40, 45, 50} ms</w:t>
            </w:r>
          </w:p>
          <w:p>
            <w:pPr>
              <w:pStyle w:val="62"/>
              <w:snapToGrid w:val="0"/>
              <w:spacing w:line="240" w:lineRule="auto"/>
              <w:ind w:left="220" w:leftChars="100"/>
              <w:rPr>
                <w:rFonts w:ascii="Times New Roman" w:hAnsi="Times New Roman"/>
                <w:b/>
                <w:bCs/>
                <w:szCs w:val="18"/>
              </w:rPr>
            </w:pPr>
          </w:p>
          <w:p>
            <w:pPr>
              <w:pStyle w:val="62"/>
              <w:snapToGrid w:val="0"/>
              <w:spacing w:line="240" w:lineRule="auto"/>
              <w:ind w:left="220" w:leftChars="100"/>
              <w:rPr>
                <w:rFonts w:ascii="Times New Roman" w:hAnsi="Times New Roman"/>
                <w:color w:val="000000" w:themeColor="text1"/>
                <w:szCs w:val="18"/>
                <w14:textFill>
                  <w14:solidFill>
                    <w14:schemeClr w14:val="tx1"/>
                  </w14:solidFill>
                </w14:textFill>
              </w:rPr>
            </w:pPr>
            <w:r>
              <w:rPr>
                <w:rFonts w:ascii="Times New Roman" w:hAnsi="Times New Roman"/>
                <w:b/>
                <w:bCs/>
                <w:szCs w:val="18"/>
              </w:rPr>
              <w:t>Note</w:t>
            </w:r>
            <w:r>
              <w:rPr>
                <w:rFonts w:hint="eastAsia" w:ascii="Times New Roman" w:hAnsi="Times New Roman"/>
                <w:b/>
                <w:bCs/>
                <w:szCs w:val="18"/>
              </w:rPr>
              <w:t>1</w:t>
            </w:r>
            <w:r>
              <w:rPr>
                <w:rFonts w:ascii="Times New Roman" w:hAnsi="Times New Roman"/>
                <w:b/>
                <w:bCs/>
                <w:szCs w:val="18"/>
              </w:rPr>
              <w:t>:</w:t>
            </w:r>
            <w:r>
              <w:rPr>
                <w:rFonts w:ascii="Times New Roman" w:hAnsi="Times New Roman"/>
                <w:szCs w:val="18"/>
              </w:rPr>
              <w:t xml:space="preserve"> </w:t>
            </w:r>
            <w:r>
              <w:rPr>
                <w:rFonts w:ascii="Times New Roman" w:hAnsi="Times New Roman"/>
                <w:color w:val="000000" w:themeColor="text1"/>
                <w:szCs w:val="18"/>
                <w14:textFill>
                  <w14:solidFill>
                    <w14:schemeClr w14:val="tx1"/>
                  </w14:solidFill>
                </w14:textFill>
              </w:rPr>
              <w:t>N</w:t>
            </w:r>
            <w:r>
              <w:rPr>
                <w:rFonts w:hint="eastAsia" w:ascii="Times New Roman" w:hAnsi="Times New Roman"/>
                <w:color w:val="000000" w:themeColor="text1"/>
                <w:szCs w:val="18"/>
                <w:vertAlign w:val="subscript"/>
                <w14:textFill>
                  <w14:solidFill>
                    <w14:schemeClr w14:val="tx1"/>
                  </w14:solidFill>
                </w14:textFill>
              </w:rPr>
              <w:t>CPM</w:t>
            </w:r>
            <w:r>
              <w:rPr>
                <w:rFonts w:ascii="Times New Roman" w:hAnsi="Times New Roman"/>
                <w:szCs w:val="18"/>
              </w:rPr>
              <w:t xml:space="preserve"> ≤ N or </w:t>
            </w:r>
            <w:r>
              <w:rPr>
                <w:rFonts w:ascii="Times New Roman" w:hAnsi="Times New Roman"/>
                <w:color w:val="000000" w:themeColor="text1"/>
                <w:szCs w:val="18"/>
                <w14:textFill>
                  <w14:solidFill>
                    <w14:schemeClr w14:val="tx1"/>
                  </w14:solidFill>
                </w14:textFill>
              </w:rPr>
              <w:t>T</w:t>
            </w:r>
            <w:r>
              <w:rPr>
                <w:rFonts w:hint="eastAsia" w:ascii="Times New Roman" w:hAnsi="Times New Roman"/>
                <w:color w:val="000000" w:themeColor="text1"/>
                <w:szCs w:val="18"/>
                <w:vertAlign w:val="subscript"/>
                <w14:textFill>
                  <w14:solidFill>
                    <w14:schemeClr w14:val="tx1"/>
                  </w14:solidFill>
                </w14:textFill>
              </w:rPr>
              <w:t>CPM</w:t>
            </w:r>
            <w:r>
              <w:rPr>
                <w:rFonts w:ascii="Times New Roman" w:hAnsi="Times New Roman"/>
                <w:szCs w:val="18"/>
              </w:rPr>
              <w:t>≥ T, where {N, T} is reported by FG 27-6</w:t>
            </w:r>
          </w:p>
          <w:p>
            <w:pPr>
              <w:pStyle w:val="62"/>
              <w:snapToGrid w:val="0"/>
              <w:spacing w:line="240" w:lineRule="auto"/>
              <w:rPr>
                <w:rFonts w:ascii="Times New Roman" w:hAnsi="Times New Roman"/>
                <w:szCs w:val="18"/>
              </w:rPr>
            </w:pPr>
          </w:p>
          <w:p>
            <w:pPr>
              <w:pStyle w:val="62"/>
              <w:numPr>
                <w:ilvl w:val="0"/>
                <w:numId w:val="16"/>
              </w:numPr>
              <w:snapToGrid w:val="0"/>
              <w:spacing w:line="240" w:lineRule="auto"/>
              <w:rPr>
                <w:rFonts w:ascii="Times New Roman" w:hAnsi="Times New Roman"/>
                <w:szCs w:val="18"/>
              </w:rPr>
            </w:pPr>
            <w:r>
              <w:rPr>
                <w:rFonts w:ascii="Times New Roman" w:hAnsi="Times New Roman"/>
                <w:szCs w:val="18"/>
              </w:rPr>
              <w:t xml:space="preserve">Max number of DL PRS resources </w:t>
            </w:r>
            <w:r>
              <w:rPr>
                <w:rFonts w:ascii="Times New Roman" w:hAnsi="Times New Roman"/>
                <w:b/>
                <w:bCs/>
                <w:szCs w:val="18"/>
              </w:rPr>
              <w:t>M</w:t>
            </w:r>
            <w:r>
              <w:rPr>
                <w:rFonts w:hint="eastAsia" w:ascii="Times New Roman" w:hAnsi="Times New Roman"/>
                <w:b/>
                <w:bCs/>
                <w:szCs w:val="18"/>
                <w:vertAlign w:val="subscript"/>
              </w:rPr>
              <w:t>CPM</w:t>
            </w:r>
            <w:r>
              <w:rPr>
                <w:rFonts w:ascii="Times New Roman" w:hAnsi="Times New Roman"/>
                <w:szCs w:val="18"/>
              </w:rPr>
              <w:t xml:space="preserve"> that UE can process in a slot under it</w:t>
            </w:r>
          </w:p>
          <w:p>
            <w:pPr>
              <w:pStyle w:val="62"/>
              <w:snapToGrid w:val="0"/>
              <w:spacing w:line="240" w:lineRule="auto"/>
              <w:ind w:left="599" w:hanging="283"/>
              <w:rPr>
                <w:rFonts w:ascii="Times New Roman" w:hAnsi="Times New Roman"/>
                <w:szCs w:val="18"/>
              </w:rPr>
            </w:pPr>
            <w:r>
              <w:rPr>
                <w:rFonts w:ascii="Times New Roman" w:hAnsi="Times New Roman"/>
                <w:szCs w:val="18"/>
              </w:rPr>
              <w:t>a)</w:t>
            </w:r>
            <w:r>
              <w:rPr>
                <w:rFonts w:ascii="Times New Roman" w:hAnsi="Times New Roman"/>
                <w:szCs w:val="18"/>
              </w:rPr>
              <w:tab/>
            </w:r>
            <w:r>
              <w:rPr>
                <w:rFonts w:ascii="Times New Roman" w:hAnsi="Times New Roman"/>
                <w:szCs w:val="18"/>
              </w:rPr>
              <w:t>FR1 bands: {1, 2, 4, 6, 8, 12, 16, 24, 32, 48, 64} for each SCS: 15kHz, 30kHz, 60kHz</w:t>
            </w:r>
          </w:p>
          <w:p>
            <w:pPr>
              <w:pStyle w:val="62"/>
              <w:snapToGrid w:val="0"/>
              <w:spacing w:line="240" w:lineRule="auto"/>
              <w:ind w:left="599" w:hanging="283"/>
              <w:rPr>
                <w:rFonts w:ascii="Times New Roman" w:hAnsi="Times New Roman"/>
                <w:szCs w:val="18"/>
              </w:rPr>
            </w:pPr>
            <w:r>
              <w:rPr>
                <w:rFonts w:ascii="Times New Roman" w:hAnsi="Times New Roman"/>
                <w:szCs w:val="18"/>
              </w:rPr>
              <w:t>b)</w:t>
            </w:r>
            <w:r>
              <w:rPr>
                <w:rFonts w:ascii="Times New Roman" w:hAnsi="Times New Roman"/>
                <w:szCs w:val="18"/>
              </w:rPr>
              <w:tab/>
            </w:r>
            <w:r>
              <w:rPr>
                <w:rFonts w:ascii="Times New Roman" w:hAnsi="Times New Roman"/>
                <w:szCs w:val="18"/>
              </w:rPr>
              <w:t>FR2 bands: {1, 2, 4, 6, 8, 12, 16, 24, 32, 48, 64} for each SCS: 60kHz, 120kHz</w:t>
            </w:r>
          </w:p>
          <w:p>
            <w:pPr>
              <w:pStyle w:val="62"/>
              <w:snapToGrid w:val="0"/>
              <w:spacing w:line="240" w:lineRule="auto"/>
              <w:rPr>
                <w:rFonts w:ascii="Times New Roman" w:hAnsi="Times New Roman"/>
                <w:szCs w:val="18"/>
              </w:rPr>
            </w:pPr>
            <w:r>
              <w:rPr>
                <w:rFonts w:ascii="Times New Roman" w:hAnsi="Times New Roman"/>
                <w:szCs w:val="18"/>
              </w:rPr>
              <w:t xml:space="preserve">   </w:t>
            </w:r>
          </w:p>
          <w:p>
            <w:pPr>
              <w:pStyle w:val="62"/>
              <w:snapToGrid w:val="0"/>
              <w:spacing w:line="240" w:lineRule="auto"/>
              <w:ind w:left="220" w:leftChars="100"/>
              <w:rPr>
                <w:rFonts w:ascii="Times New Roman" w:hAnsi="Times New Roman"/>
                <w:szCs w:val="18"/>
              </w:rPr>
            </w:pPr>
            <w:r>
              <w:rPr>
                <w:rFonts w:ascii="Times New Roman" w:hAnsi="Times New Roman"/>
                <w:b/>
                <w:bCs/>
                <w:szCs w:val="18"/>
              </w:rPr>
              <w:t>Note</w:t>
            </w:r>
            <w:r>
              <w:rPr>
                <w:rFonts w:hint="eastAsia" w:ascii="Times New Roman" w:hAnsi="Times New Roman"/>
                <w:b/>
                <w:bCs/>
                <w:szCs w:val="18"/>
              </w:rPr>
              <w:t>2</w:t>
            </w:r>
            <w:r>
              <w:rPr>
                <w:rFonts w:ascii="Times New Roman" w:hAnsi="Times New Roman"/>
                <w:b/>
                <w:bCs/>
                <w:szCs w:val="18"/>
              </w:rPr>
              <w:t>:</w:t>
            </w:r>
            <w:r>
              <w:rPr>
                <w:rFonts w:ascii="Times New Roman" w:hAnsi="Times New Roman"/>
                <w:szCs w:val="18"/>
              </w:rPr>
              <w:t xml:space="preserve"> </w:t>
            </w:r>
            <w:r>
              <w:rPr>
                <w:rFonts w:ascii="Times New Roman" w:hAnsi="Times New Roman"/>
                <w:b/>
                <w:bCs/>
                <w:szCs w:val="18"/>
              </w:rPr>
              <w:t>M</w:t>
            </w:r>
            <w:r>
              <w:rPr>
                <w:rFonts w:hint="eastAsia" w:ascii="Times New Roman" w:hAnsi="Times New Roman"/>
                <w:b/>
                <w:bCs/>
                <w:szCs w:val="18"/>
                <w:vertAlign w:val="subscript"/>
              </w:rPr>
              <w:t>CPM</w:t>
            </w:r>
            <w:r>
              <w:rPr>
                <w:rFonts w:ascii="Times New Roman" w:hAnsi="Times New Roman"/>
                <w:szCs w:val="18"/>
              </w:rPr>
              <w:t xml:space="preserve"> ≤ M, where M is maximum number PRS resources for</w:t>
            </w:r>
            <w:r>
              <w:rPr>
                <w:rFonts w:hint="eastAsia" w:ascii="Times New Roman" w:hAnsi="Times New Roman"/>
                <w:szCs w:val="18"/>
              </w:rPr>
              <w:t xml:space="preserve"> PRS</w:t>
            </w:r>
            <w:r>
              <w:rPr>
                <w:rFonts w:ascii="Times New Roman" w:hAnsi="Times New Roman"/>
                <w:szCs w:val="18"/>
              </w:rPr>
              <w:t xml:space="preserve"> measurement reported by FG 27-6</w:t>
            </w:r>
          </w:p>
          <w:p>
            <w:pPr>
              <w:pStyle w:val="62"/>
              <w:snapToGrid w:val="0"/>
              <w:spacing w:line="240" w:lineRule="auto"/>
              <w:ind w:left="220" w:leftChars="100"/>
              <w:rPr>
                <w:rFonts w:ascii="Times New Roman" w:hAnsi="Times New Roman"/>
                <w:szCs w:val="18"/>
              </w:rPr>
            </w:pPr>
          </w:p>
          <w:p>
            <w:pPr>
              <w:pStyle w:val="62"/>
              <w:snapToGrid w:val="0"/>
              <w:spacing w:line="240" w:lineRule="auto"/>
              <w:ind w:left="220" w:leftChars="100"/>
              <w:rPr>
                <w:rFonts w:ascii="Times New Roman" w:hAnsi="Times New Roman"/>
                <w:szCs w:val="18"/>
              </w:rPr>
            </w:pPr>
            <w:r>
              <w:rPr>
                <w:rFonts w:hint="eastAsia" w:ascii="Times New Roman" w:hAnsi="Times New Roman"/>
                <w:b/>
                <w:bCs/>
                <w:szCs w:val="18"/>
              </w:rPr>
              <w:t>Note3</w:t>
            </w:r>
            <w:r>
              <w:rPr>
                <w:rFonts w:hint="eastAsia" w:ascii="Times New Roman" w:hAnsi="Times New Roman"/>
                <w:szCs w:val="18"/>
              </w:rPr>
              <w:t xml:space="preserve">: RSCPD </w:t>
            </w:r>
            <w:r>
              <w:rPr>
                <w:rFonts w:ascii="Times New Roman" w:hAnsi="Times New Roman"/>
                <w:szCs w:val="18"/>
              </w:rPr>
              <w:t xml:space="preserve">is reported by UE together with </w:t>
            </w:r>
            <w:r>
              <w:rPr>
                <w:rFonts w:hint="eastAsia" w:ascii="Times New Roman" w:hAnsi="Times New Roman"/>
                <w:szCs w:val="18"/>
              </w:rPr>
              <w:t xml:space="preserve">RSTD measurement in </w:t>
            </w:r>
            <w:r>
              <w:rPr>
                <w:rFonts w:ascii="Times New Roman" w:hAnsi="Times New Roman"/>
                <w:szCs w:val="18"/>
              </w:rPr>
              <w:t>DL TDOA</w:t>
            </w:r>
            <w:r>
              <w:rPr>
                <w:rFonts w:hint="eastAsia" w:ascii="Times New Roman" w:hAnsi="Times New Roman"/>
                <w:szCs w:val="18"/>
              </w:rPr>
              <w:t xml:space="preserve">, RSCP </w:t>
            </w:r>
            <w:r>
              <w:rPr>
                <w:rFonts w:ascii="Times New Roman" w:hAnsi="Times New Roman"/>
                <w:szCs w:val="18"/>
              </w:rPr>
              <w:t>is reported by</w:t>
            </w:r>
            <w:r>
              <w:rPr>
                <w:rFonts w:hint="eastAsia" w:ascii="Times New Roman" w:hAnsi="Times New Roman"/>
                <w:szCs w:val="18"/>
              </w:rPr>
              <w:t xml:space="preserve"> </w:t>
            </w:r>
            <w:r>
              <w:rPr>
                <w:rFonts w:ascii="Times New Roman" w:hAnsi="Times New Roman"/>
                <w:szCs w:val="18"/>
              </w:rPr>
              <w:t>UE together with UE Rx–Tx time difference measurement</w:t>
            </w:r>
            <w:r>
              <w:rPr>
                <w:rFonts w:hint="eastAsia" w:ascii="Times New Roman" w:hAnsi="Times New Roman"/>
                <w:szCs w:val="18"/>
              </w:rPr>
              <w:t xml:space="preserve"> in Multi-RTT</w:t>
            </w:r>
            <w:r>
              <w:rPr>
                <w:rFonts w:ascii="Times New Roman" w:hAnsi="Times New Roman"/>
                <w:szCs w:val="18"/>
              </w:rPr>
              <w:t xml:space="preserve"> positioning</w:t>
            </w:r>
            <w:r>
              <w:rPr>
                <w:rFonts w:hint="eastAsia" w:ascii="Times New Roman" w:hAnsi="Times New Roman"/>
                <w:szCs w:val="18"/>
              </w:rPr>
              <w:t>.</w:t>
            </w:r>
          </w:p>
        </w:tc>
        <w:tc>
          <w:tcPr>
            <w:tcW w:w="127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trike/>
                <w:color w:val="000000" w:themeColor="text1"/>
                <w:szCs w:val="18"/>
                <w:highlight w:val="yellow"/>
                <w14:textFill>
                  <w14:solidFill>
                    <w14:schemeClr w14:val="tx1"/>
                  </w14:solidFill>
                </w14:textFill>
              </w:rPr>
            </w:pPr>
            <w:r>
              <w:rPr>
                <w:rFonts w:ascii="Times New Roman" w:hAnsi="Times New Roman"/>
                <w:color w:val="000000" w:themeColor="text1"/>
                <w:szCs w:val="18"/>
                <w14:textFill>
                  <w14:solidFill>
                    <w14:schemeClr w14:val="tx1"/>
                  </w14:solidFill>
                </w14:textFill>
              </w:rPr>
              <w:t>27-6</w:t>
            </w:r>
            <w:r>
              <w:rPr>
                <w:rFonts w:hint="eastAsia" w:ascii="Times New Roman" w:hAnsi="Times New Roman"/>
                <w:color w:val="000000" w:themeColor="text1"/>
                <w:szCs w:val="18"/>
                <w14:textFill>
                  <w14:solidFill>
                    <w14:schemeClr w14:val="tx1"/>
                  </w14:solidFill>
                </w14:textFill>
              </w:rPr>
              <w:t xml:space="preserve">, </w:t>
            </w:r>
            <w:r>
              <w:rPr>
                <w:rFonts w:ascii="Times New Roman" w:hAnsi="Times New Roman"/>
                <w:color w:val="000000" w:themeColor="text1"/>
                <w:szCs w:val="18"/>
                <w14:textFill>
                  <w14:solidFill>
                    <w14:schemeClr w14:val="tx1"/>
                  </w14:solidFill>
                </w14:textFill>
              </w:rPr>
              <w:t>27-18a, 27-18c</w:t>
            </w:r>
          </w:p>
        </w:tc>
        <w:tc>
          <w:tcPr>
            <w:tcW w:w="120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w:t>
            </w:r>
          </w:p>
        </w:tc>
        <w:tc>
          <w:tcPr>
            <w:tcW w:w="121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2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szCs w:val="18"/>
              </w:rPr>
              <w:t xml:space="preserve">DL PRS carrier phase </w:t>
            </w:r>
            <w:r>
              <w:rPr>
                <w:rFonts w:hint="eastAsia" w:ascii="Times New Roman" w:hAnsi="Times New Roman"/>
                <w:szCs w:val="18"/>
              </w:rPr>
              <w:t>m</w:t>
            </w:r>
            <w:r>
              <w:rPr>
                <w:rFonts w:ascii="Times New Roman" w:hAnsi="Times New Roman"/>
                <w:szCs w:val="18"/>
              </w:rPr>
              <w:t xml:space="preserve">easurement </w:t>
            </w:r>
            <w:r>
              <w:rPr>
                <w:rFonts w:hint="eastAsia" w:ascii="Times New Roman" w:hAnsi="Times New Roman"/>
                <w:szCs w:val="18"/>
              </w:rPr>
              <w:t>in RRC inactive state is not supported</w:t>
            </w:r>
          </w:p>
        </w:tc>
        <w:tc>
          <w:tcPr>
            <w:tcW w:w="217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123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195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Need for location server to know if the feature is supported.</w:t>
            </w:r>
          </w:p>
        </w:tc>
        <w:tc>
          <w:tcPr>
            <w:tcW w:w="157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3"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hint="eastAsia" w:ascii="Times New Roman" w:hAnsi="Times New Roman"/>
                <w:szCs w:val="18"/>
              </w:rPr>
              <w:t>41-2-3</w:t>
            </w:r>
          </w:p>
        </w:tc>
        <w:tc>
          <w:tcPr>
            <w:tcW w:w="1695" w:type="dxa"/>
            <w:tcBorders>
              <w:top w:val="single" w:color="auto" w:sz="4" w:space="0"/>
              <w:left w:val="single" w:color="auto" w:sz="4" w:space="0"/>
              <w:bottom w:val="single" w:color="auto" w:sz="4" w:space="0"/>
              <w:right w:val="single" w:color="auto" w:sz="4" w:space="0"/>
            </w:tcBorders>
          </w:tcPr>
          <w:p>
            <w:pPr>
              <w:pStyle w:val="3"/>
              <w:numPr>
                <w:ilvl w:val="1"/>
                <w:numId w:val="0"/>
              </w:numPr>
              <w:snapToGrid w:val="0"/>
              <w:spacing w:before="0" w:after="0" w:line="240" w:lineRule="auto"/>
              <w:jc w:val="both"/>
              <w:rPr>
                <w:rFonts w:eastAsia="宋体"/>
                <w:b w:val="0"/>
                <w:bCs w:val="0"/>
                <w:color w:val="000000" w:themeColor="text1"/>
                <w:sz w:val="18"/>
                <w:szCs w:val="18"/>
                <w:lang w:val="en-US"/>
                <w14:textFill>
                  <w14:solidFill>
                    <w14:schemeClr w14:val="tx1"/>
                  </w14:solidFill>
                </w14:textFill>
              </w:rPr>
            </w:pPr>
            <w:r>
              <w:rPr>
                <w:rFonts w:eastAsia="宋体"/>
                <w:b w:val="0"/>
                <w:bCs w:val="0"/>
                <w:color w:val="000000" w:themeColor="text1"/>
                <w:sz w:val="18"/>
                <w:szCs w:val="18"/>
                <w:lang w:val="en-US"/>
                <w14:textFill>
                  <w14:solidFill>
                    <w14:schemeClr w14:val="tx1"/>
                  </w14:solidFill>
                </w14:textFill>
              </w:rPr>
              <w:t>Measurement on DL PRS within the indicated time window(s)</w:t>
            </w:r>
          </w:p>
          <w:p>
            <w:pPr>
              <w:pStyle w:val="62"/>
              <w:adjustRightInd w:val="0"/>
              <w:snapToGrid w:val="0"/>
              <w:spacing w:line="240" w:lineRule="auto"/>
              <w:rPr>
                <w:rFonts w:ascii="Times New Roman" w:hAnsi="Times New Roman" w:eastAsia="宋体"/>
                <w:color w:val="000000" w:themeColor="text1"/>
                <w:szCs w:val="18"/>
                <w:lang w:val="en-GB" w:eastAsia="ja-JP"/>
                <w14:textFill>
                  <w14:solidFill>
                    <w14:schemeClr w14:val="tx1"/>
                  </w14:solidFill>
                </w14:textFill>
              </w:rPr>
            </w:pPr>
          </w:p>
        </w:tc>
        <w:tc>
          <w:tcPr>
            <w:tcW w:w="4590" w:type="dxa"/>
            <w:tcBorders>
              <w:top w:val="single" w:color="auto" w:sz="4" w:space="0"/>
              <w:left w:val="single" w:color="auto" w:sz="4" w:space="0"/>
              <w:bottom w:val="single" w:color="auto" w:sz="4" w:space="0"/>
              <w:right w:val="single" w:color="auto" w:sz="4" w:space="0"/>
            </w:tcBorders>
          </w:tcPr>
          <w:p>
            <w:pPr>
              <w:numPr>
                <w:ilvl w:val="0"/>
                <w:numId w:val="18"/>
              </w:numPr>
              <w:autoSpaceDE w:val="0"/>
              <w:autoSpaceDN w:val="0"/>
              <w:adjustRightInd w:val="0"/>
              <w:snapToGrid w:val="0"/>
              <w:spacing w:after="0" w:line="240" w:lineRule="auto"/>
              <w:contextualSpacing/>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 xml:space="preserve">Maximum number of indicated time window(s) N3  a UE can process in </w:t>
            </w:r>
            <w:r>
              <w:rPr>
                <w:rFonts w:ascii="Times New Roman" w:hAnsi="Times New Roman"/>
                <w:sz w:val="18"/>
                <w:szCs w:val="18"/>
              </w:rPr>
              <w:t>every</w:t>
            </w:r>
            <w:r>
              <w:rPr>
                <w:rFonts w:hint="eastAsia" w:ascii="Times New Roman" w:hAnsi="Times New Roman"/>
                <w:sz w:val="18"/>
                <w:szCs w:val="18"/>
              </w:rPr>
              <w:t xml:space="preserve"> </w:t>
            </w:r>
            <w:r>
              <w:rPr>
                <w:rFonts w:ascii="Times New Roman" w:hAnsi="Times New Roman"/>
                <w:color w:val="000000" w:themeColor="text1"/>
                <w:sz w:val="18"/>
                <w:szCs w:val="18"/>
                <w14:textFill>
                  <w14:solidFill>
                    <w14:schemeClr w14:val="tx1"/>
                  </w14:solidFill>
                </w14:textFill>
              </w:rPr>
              <w:t>T</w:t>
            </w:r>
            <w:r>
              <w:rPr>
                <w:rFonts w:hint="eastAsia" w:ascii="Times New Roman" w:hAnsi="Times New Roman"/>
                <w:color w:val="000000" w:themeColor="text1"/>
                <w:sz w:val="18"/>
                <w:szCs w:val="18"/>
                <w:vertAlign w:val="subscript"/>
                <w14:textFill>
                  <w14:solidFill>
                    <w14:schemeClr w14:val="tx1"/>
                  </w14:solidFill>
                </w14:textFill>
              </w:rPr>
              <w:t>CPM</w:t>
            </w:r>
            <w:r>
              <w:rPr>
                <w:rFonts w:ascii="Times New Roman" w:hAnsi="Times New Roman"/>
                <w:sz w:val="18"/>
                <w:szCs w:val="18"/>
              </w:rPr>
              <w:t xml:space="preserve"> ms</w:t>
            </w:r>
            <w:r>
              <w:rPr>
                <w:rFonts w:ascii="Times New Roman" w:hAnsi="Times New Roman"/>
                <w:color w:val="000000" w:themeColor="text1"/>
                <w:sz w:val="18"/>
                <w:szCs w:val="18"/>
                <w14:textFill>
                  <w14:solidFill>
                    <w14:schemeClr w14:val="tx1"/>
                  </w14:solidFill>
                </w14:textFill>
              </w:rPr>
              <w:t>, which is supported and reported by UE</w:t>
            </w:r>
            <w:r>
              <w:rPr>
                <w:rFonts w:hint="eastAsia" w:ascii="Times New Roman" w:hAnsi="Times New Roman"/>
                <w:color w:val="000000" w:themeColor="text1"/>
                <w:sz w:val="18"/>
                <w:szCs w:val="18"/>
                <w14:textFill>
                  <w14:solidFill>
                    <w14:schemeClr w14:val="tx1"/>
                  </w14:solidFill>
                </w14:textFill>
              </w:rPr>
              <w:t>.</w:t>
            </w:r>
          </w:p>
          <w:p>
            <w:pPr>
              <w:pStyle w:val="62"/>
              <w:numPr>
                <w:ilvl w:val="0"/>
                <w:numId w:val="19"/>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T</w:t>
            </w:r>
            <w:r>
              <w:rPr>
                <w:rFonts w:hint="eastAsia" w:ascii="Times New Roman" w:hAnsi="Times New Roman"/>
                <w:color w:val="000000" w:themeColor="text1"/>
                <w:szCs w:val="18"/>
                <w:vertAlign w:val="subscript"/>
                <w14:textFill>
                  <w14:solidFill>
                    <w14:schemeClr w14:val="tx1"/>
                  </w14:solidFill>
                </w14:textFill>
              </w:rPr>
              <w:t>CPM</w:t>
            </w:r>
            <w:r>
              <w:rPr>
                <w:rFonts w:ascii="Times New Roman" w:hAnsi="Times New Roman"/>
                <w:color w:val="000000" w:themeColor="text1"/>
                <w:szCs w:val="18"/>
                <w:vertAlign w:val="subscript"/>
                <w14:textFill>
                  <w14:solidFill>
                    <w14:schemeClr w14:val="tx1"/>
                  </w14:solidFill>
                </w14:textFill>
              </w:rPr>
              <w:t xml:space="preserve"> </w:t>
            </w:r>
            <w:r>
              <w:rPr>
                <w:rFonts w:ascii="Times New Roman" w:hAnsi="Times New Roman"/>
                <w:szCs w:val="18"/>
              </w:rPr>
              <w:t xml:space="preserve">: </w:t>
            </w:r>
            <w:r>
              <w:rPr>
                <w:rFonts w:ascii="Times New Roman" w:hAnsi="Times New Roman"/>
                <w:color w:val="000000" w:themeColor="text1"/>
                <w:szCs w:val="18"/>
                <w14:textFill>
                  <w14:solidFill>
                    <w14:schemeClr w14:val="tx1"/>
                  </w14:solidFill>
                </w14:textFill>
              </w:rPr>
              <w:t xml:space="preserve">{1, 2, 4, 8, 16, 20, 30, 40, 80, 160, 320, 640, 1280} </w:t>
            </w:r>
            <w:r>
              <w:rPr>
                <w:rFonts w:hint="eastAsia" w:ascii="Times New Roman" w:hAnsi="Times New Roman"/>
                <w:color w:val="000000" w:themeColor="text1"/>
                <w:szCs w:val="18"/>
                <w14:textFill>
                  <w14:solidFill>
                    <w14:schemeClr w14:val="tx1"/>
                  </w14:solidFill>
                </w14:textFill>
              </w:rPr>
              <w:t>ms</w:t>
            </w:r>
          </w:p>
          <w:p>
            <w:pPr>
              <w:pStyle w:val="62"/>
              <w:numPr>
                <w:ilvl w:val="0"/>
                <w:numId w:val="19"/>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w:t>
            </w:r>
            <w:r>
              <w:rPr>
                <w:rFonts w:hint="eastAsia" w:ascii="Times New Roman" w:hAnsi="Times New Roman"/>
                <w:color w:val="000000" w:themeColor="text1"/>
                <w:szCs w:val="18"/>
                <w14:textFill>
                  <w14:solidFill>
                    <w14:schemeClr w14:val="tx1"/>
                  </w14:solidFill>
                </w14:textFill>
              </w:rPr>
              <w:t>3</w:t>
            </w:r>
            <w:r>
              <w:rPr>
                <w:rFonts w:ascii="Times New Roman" w:hAnsi="Times New Roman"/>
                <w:color w:val="000000" w:themeColor="text1"/>
                <w:szCs w:val="18"/>
                <w14:textFill>
                  <w14:solidFill>
                    <w14:schemeClr w14:val="tx1"/>
                  </w14:solidFill>
                </w14:textFill>
              </w:rPr>
              <w:t>: {1,2,...,N}</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FFS: The value of N</w:t>
            </w:r>
          </w:p>
          <w:p>
            <w:pPr>
              <w:autoSpaceDE w:val="0"/>
              <w:autoSpaceDN w:val="0"/>
              <w:adjustRightInd w:val="0"/>
              <w:snapToGrid w:val="0"/>
              <w:spacing w:after="0" w:line="240" w:lineRule="auto"/>
              <w:contextualSpacing/>
              <w:rPr>
                <w:rFonts w:ascii="Times New Roman" w:hAnsi="Times New Roman"/>
                <w:color w:val="000000" w:themeColor="text1"/>
                <w:sz w:val="18"/>
                <w:szCs w:val="18"/>
                <w14:textFill>
                  <w14:solidFill>
                    <w14:schemeClr w14:val="tx1"/>
                  </w14:solidFill>
                </w14:textFill>
              </w:rPr>
            </w:pPr>
          </w:p>
          <w:p>
            <w:pPr>
              <w:numPr>
                <w:ilvl w:val="0"/>
                <w:numId w:val="18"/>
              </w:numPr>
              <w:autoSpaceDE w:val="0"/>
              <w:autoSpaceDN w:val="0"/>
              <w:adjustRightInd w:val="0"/>
              <w:snapToGrid w:val="0"/>
              <w:spacing w:after="0" w:line="240" w:lineRule="auto"/>
              <w:contextualSpacing/>
              <w:rPr>
                <w:rFonts w:ascii="Times New Roman" w:hAnsi="Times New Roman"/>
                <w:sz w:val="18"/>
                <w:szCs w:val="18"/>
              </w:rPr>
            </w:pPr>
            <w:r>
              <w:rPr>
                <w:rFonts w:hint="eastAsia" w:ascii="Times New Roman" w:hAnsi="Times New Roman"/>
                <w:color w:val="000000" w:themeColor="text1"/>
                <w:sz w:val="18"/>
                <w:szCs w:val="18"/>
                <w14:textFill>
                  <w14:solidFill>
                    <w14:schemeClr w14:val="tx1"/>
                  </w14:solidFill>
                </w14:textFill>
              </w:rPr>
              <w:t>Maximum d</w:t>
            </w:r>
            <w:r>
              <w:rPr>
                <w:rFonts w:ascii="Times New Roman" w:hAnsi="Times New Roman"/>
                <w:color w:val="000000" w:themeColor="text1"/>
                <w:sz w:val="18"/>
                <w:szCs w:val="18"/>
                <w14:textFill>
                  <w14:solidFill>
                    <w14:schemeClr w14:val="tx1"/>
                  </w14:solidFill>
                </w14:textFill>
              </w:rPr>
              <w:t xml:space="preserve">uration of DL PRS symbols N4 in units of ms </w:t>
            </w:r>
            <w:r>
              <w:rPr>
                <w:rFonts w:hint="eastAsia" w:ascii="Times New Roman" w:hAnsi="Times New Roman"/>
                <w:color w:val="000000" w:themeColor="text1"/>
                <w:sz w:val="18"/>
                <w:szCs w:val="18"/>
                <w14:textFill>
                  <w14:solidFill>
                    <w14:schemeClr w14:val="tx1"/>
                  </w14:solidFill>
                </w14:textFill>
              </w:rPr>
              <w:t xml:space="preserve">in </w:t>
            </w:r>
            <w:r>
              <w:rPr>
                <w:rFonts w:ascii="Times New Roman" w:hAnsi="Times New Roman"/>
                <w:color w:val="000000" w:themeColor="text1"/>
                <w:sz w:val="18"/>
                <w:szCs w:val="18"/>
                <w14:textFill>
                  <w14:solidFill>
                    <w14:schemeClr w14:val="tx1"/>
                  </w14:solidFill>
                </w14:textFill>
              </w:rPr>
              <w:t>each indicated time window</w:t>
            </w:r>
            <w:r>
              <w:rPr>
                <w:rFonts w:hint="eastAsia" w:ascii="Times New Roman" w:hAnsi="Times New Roman"/>
                <w:color w:val="000000" w:themeColor="text1"/>
                <w:sz w:val="18"/>
                <w:szCs w:val="18"/>
                <w14:textFill>
                  <w14:solidFill>
                    <w14:schemeClr w14:val="tx1"/>
                  </w14:solidFill>
                </w14:textFill>
              </w:rPr>
              <w:t>.</w:t>
            </w:r>
          </w:p>
          <w:p>
            <w:pPr>
              <w:pStyle w:val="62"/>
              <w:numPr>
                <w:ilvl w:val="0"/>
                <w:numId w:val="20"/>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w:t>
            </w:r>
            <w:r>
              <w:rPr>
                <w:rFonts w:hint="eastAsia" w:ascii="Times New Roman" w:hAnsi="Times New Roman"/>
                <w:color w:val="000000" w:themeColor="text1"/>
                <w:szCs w:val="18"/>
                <w14:textFill>
                  <w14:solidFill>
                    <w14:schemeClr w14:val="tx1"/>
                  </w14:solidFill>
                </w14:textFill>
              </w:rPr>
              <w:t>4</w:t>
            </w:r>
            <w:r>
              <w:rPr>
                <w:rFonts w:ascii="Times New Roman" w:hAnsi="Times New Roman"/>
                <w:color w:val="000000" w:themeColor="text1"/>
                <w:szCs w:val="18"/>
                <w14:textFill>
                  <w14:solidFill>
                    <w14:schemeClr w14:val="tx1"/>
                  </w14:solidFill>
                </w14:textFill>
              </w:rPr>
              <w:t>: {1,2,...</w:t>
            </w:r>
            <w:r>
              <w:rPr>
                <w:rFonts w:hint="eastAsia" w:ascii="Times New Roman" w:hAnsi="Times New Roman"/>
                <w:color w:val="000000" w:themeColor="text1"/>
                <w:szCs w:val="18"/>
                <w14:textFill>
                  <w14:solidFill>
                    <w14:schemeClr w14:val="tx1"/>
                  </w14:solidFill>
                </w14:textFill>
              </w:rPr>
              <w:t>K</w:t>
            </w:r>
            <w:r>
              <w:rPr>
                <w:rFonts w:ascii="Times New Roman" w:hAnsi="Times New Roman"/>
                <w:color w:val="000000" w:themeColor="text1"/>
                <w:szCs w:val="18"/>
                <w14:textFill>
                  <w14:solidFill>
                    <w14:schemeClr w14:val="tx1"/>
                  </w14:solidFill>
                </w14:textFill>
              </w:rPr>
              <w:t>}</w:t>
            </w:r>
            <w:r>
              <w:rPr>
                <w:rFonts w:hint="eastAsia" w:ascii="Times New Roman" w:hAnsi="Times New Roman"/>
                <w:color w:val="000000" w:themeColor="text1"/>
                <w:szCs w:val="18"/>
                <w14:textFill>
                  <w14:solidFill>
                    <w14:schemeClr w14:val="tx1"/>
                  </w14:solidFill>
                </w14:textFill>
              </w:rPr>
              <w:t xml:space="preserve"> ms</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FFS: The value of </w:t>
            </w:r>
            <w:r>
              <w:rPr>
                <w:rFonts w:hint="eastAsia" w:ascii="Times New Roman" w:hAnsi="Times New Roman"/>
                <w:color w:val="000000" w:themeColor="text1"/>
                <w:szCs w:val="18"/>
                <w14:textFill>
                  <w14:solidFill>
                    <w14:schemeClr w14:val="tx1"/>
                  </w14:solidFill>
                </w14:textFill>
              </w:rPr>
              <w:t>K</w:t>
            </w:r>
          </w:p>
        </w:tc>
        <w:tc>
          <w:tcPr>
            <w:tcW w:w="127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trike/>
                <w:color w:val="000000" w:themeColor="text1"/>
                <w:szCs w:val="18"/>
                <w:highlight w:val="yellow"/>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13-1</w:t>
            </w:r>
          </w:p>
        </w:tc>
        <w:tc>
          <w:tcPr>
            <w:tcW w:w="120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000000" w:themeColor="text1"/>
                <w:szCs w:val="18"/>
                <w14:textFill>
                  <w14:solidFill>
                    <w14:schemeClr w14:val="tx1"/>
                  </w14:solidFill>
                </w14:textFill>
              </w:rPr>
              <w:t>No</w:t>
            </w:r>
          </w:p>
        </w:tc>
        <w:tc>
          <w:tcPr>
            <w:tcW w:w="121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25" w:type="dxa"/>
            <w:tcBorders>
              <w:top w:val="single" w:color="auto" w:sz="4" w:space="0"/>
              <w:left w:val="single" w:color="auto" w:sz="4" w:space="0"/>
              <w:bottom w:val="single" w:color="auto" w:sz="4" w:space="0"/>
              <w:right w:val="single" w:color="auto" w:sz="4" w:space="0"/>
            </w:tcBorders>
          </w:tcPr>
          <w:p>
            <w:pPr>
              <w:pStyle w:val="3"/>
              <w:numPr>
                <w:ilvl w:val="1"/>
                <w:numId w:val="0"/>
              </w:numPr>
              <w:snapToGrid w:val="0"/>
              <w:spacing w:before="0" w:after="0" w:line="240" w:lineRule="auto"/>
              <w:jc w:val="both"/>
              <w:rPr>
                <w:rFonts w:eastAsia="宋体"/>
                <w:b w:val="0"/>
                <w:bCs w:val="0"/>
                <w:color w:val="000000" w:themeColor="text1"/>
                <w:sz w:val="18"/>
                <w:szCs w:val="18"/>
                <w:lang w:val="en-US"/>
                <w14:textFill>
                  <w14:solidFill>
                    <w14:schemeClr w14:val="tx1"/>
                  </w14:solidFill>
                </w14:textFill>
              </w:rPr>
            </w:pPr>
            <w:r>
              <w:rPr>
                <w:rFonts w:eastAsia="宋体"/>
                <w:b w:val="0"/>
                <w:bCs w:val="0"/>
                <w:color w:val="000000" w:themeColor="text1"/>
                <w:sz w:val="18"/>
                <w:szCs w:val="18"/>
                <w:lang w:val="en-US"/>
                <w14:textFill>
                  <w14:solidFill>
                    <w14:schemeClr w14:val="tx1"/>
                  </w14:solidFill>
                </w14:textFill>
              </w:rPr>
              <w:t>Measurement on DL PRS within the indicated time window(s)</w:t>
            </w:r>
          </w:p>
          <w:p>
            <w:pPr>
              <w:pStyle w:val="62"/>
              <w:adjustRightInd w:val="0"/>
              <w:snapToGrid w:val="0"/>
              <w:spacing w:line="240" w:lineRule="auto"/>
              <w:rPr>
                <w:rFonts w:ascii="Times New Roman" w:hAnsi="Times New Roman" w:eastAsia="宋体"/>
                <w:color w:val="000000" w:themeColor="text1"/>
                <w:szCs w:val="18"/>
                <w:lang w:val="en-GB" w:eastAsia="ja-JP"/>
                <w14:textFill>
                  <w14:solidFill>
                    <w14:schemeClr w14:val="tx1"/>
                  </w14:solidFill>
                </w14:textFill>
              </w:rPr>
            </w:pPr>
            <w:r>
              <w:rPr>
                <w:rFonts w:ascii="Times New Roman" w:hAnsi="Times New Roman" w:eastAsia="宋体"/>
                <w:color w:val="000000" w:themeColor="text1"/>
                <w:szCs w:val="18"/>
                <w:lang w:eastAsia="ja-JP"/>
                <w14:textFill>
                  <w14:solidFill>
                    <w14:schemeClr w14:val="tx1"/>
                  </w14:solidFill>
                </w14:textFill>
              </w:rPr>
              <w:t>is not supported</w:t>
            </w:r>
          </w:p>
        </w:tc>
        <w:tc>
          <w:tcPr>
            <w:tcW w:w="217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123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195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Need for location server to know if the feature is supported.</w:t>
            </w:r>
          </w:p>
        </w:tc>
        <w:tc>
          <w:tcPr>
            <w:tcW w:w="157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hint="eastAsia" w:ascii="Times New Roman" w:hAnsi="Times New Roman"/>
                <w:szCs w:val="18"/>
              </w:rPr>
              <w:t>41-2-4</w:t>
            </w:r>
          </w:p>
        </w:tc>
        <w:tc>
          <w:tcPr>
            <w:tcW w:w="1695" w:type="dxa"/>
            <w:tcBorders>
              <w:top w:val="single" w:color="auto" w:sz="4" w:space="0"/>
              <w:left w:val="single" w:color="auto" w:sz="4" w:space="0"/>
              <w:bottom w:val="single" w:color="auto" w:sz="4" w:space="0"/>
              <w:right w:val="single" w:color="auto" w:sz="4" w:space="0"/>
            </w:tcBorders>
          </w:tcPr>
          <w:p>
            <w:pPr>
              <w:pStyle w:val="3"/>
              <w:numPr>
                <w:ilvl w:val="1"/>
                <w:numId w:val="0"/>
              </w:numPr>
              <w:snapToGrid w:val="0"/>
              <w:spacing w:before="0" w:after="0" w:line="240" w:lineRule="auto"/>
              <w:jc w:val="both"/>
              <w:rPr>
                <w:rFonts w:eastAsia="宋体"/>
                <w:b w:val="0"/>
                <w:bCs w:val="0"/>
                <w:color w:val="000000" w:themeColor="text1"/>
                <w:sz w:val="18"/>
                <w:szCs w:val="18"/>
                <w:lang w:val="en-US"/>
                <w14:textFill>
                  <w14:solidFill>
                    <w14:schemeClr w14:val="tx1"/>
                  </w14:solidFill>
                </w14:textFill>
              </w:rPr>
            </w:pPr>
            <w:r>
              <w:rPr>
                <w:rFonts w:hint="eastAsia" w:eastAsia="宋体"/>
                <w:b w:val="0"/>
                <w:bCs w:val="0"/>
                <w:color w:val="000000" w:themeColor="text1"/>
                <w:sz w:val="18"/>
                <w:szCs w:val="18"/>
                <w:lang w:val="en-US"/>
                <w14:textFill>
                  <w14:solidFill>
                    <w14:schemeClr w14:val="tx1"/>
                  </w14:solidFill>
                </w14:textFill>
              </w:rPr>
              <w:t>Transmission of SRS for positioning within</w:t>
            </w:r>
            <w:r>
              <w:rPr>
                <w:rFonts w:eastAsia="宋体"/>
                <w:b w:val="0"/>
                <w:bCs w:val="0"/>
                <w:color w:val="000000" w:themeColor="text1"/>
                <w:sz w:val="18"/>
                <w:szCs w:val="18"/>
                <w:lang w:val="en-US"/>
                <w14:textFill>
                  <w14:solidFill>
                    <w14:schemeClr w14:val="tx1"/>
                  </w14:solidFill>
                </w14:textFill>
              </w:rPr>
              <w:t xml:space="preserve"> </w:t>
            </w:r>
            <w:r>
              <w:rPr>
                <w:rFonts w:hint="eastAsia" w:eastAsia="宋体"/>
                <w:b w:val="0"/>
                <w:bCs w:val="0"/>
                <w:color w:val="000000" w:themeColor="text1"/>
                <w:sz w:val="18"/>
                <w:szCs w:val="18"/>
                <w:lang w:val="en-US"/>
                <w14:textFill>
                  <w14:solidFill>
                    <w14:schemeClr w14:val="tx1"/>
                  </w14:solidFill>
                </w14:textFill>
              </w:rPr>
              <w:t xml:space="preserve">the </w:t>
            </w:r>
            <w:r>
              <w:rPr>
                <w:rFonts w:eastAsia="宋体"/>
                <w:b w:val="0"/>
                <w:bCs w:val="0"/>
                <w:color w:val="000000" w:themeColor="text1"/>
                <w:sz w:val="18"/>
                <w:szCs w:val="18"/>
                <w:lang w:val="en-US"/>
                <w14:textFill>
                  <w14:solidFill>
                    <w14:schemeClr w14:val="tx1"/>
                  </w14:solidFill>
                </w14:textFill>
              </w:rPr>
              <w:t>indicated time window(s)</w:t>
            </w:r>
          </w:p>
          <w:p>
            <w:pPr>
              <w:pStyle w:val="62"/>
              <w:adjustRightInd w:val="0"/>
              <w:snapToGrid w:val="0"/>
              <w:spacing w:line="240" w:lineRule="auto"/>
              <w:rPr>
                <w:rFonts w:ascii="Times New Roman" w:hAnsi="Times New Roman" w:eastAsia="宋体"/>
                <w:color w:val="000000" w:themeColor="text1"/>
                <w:szCs w:val="18"/>
                <w:lang w:val="en-GB" w:eastAsia="ja-JP"/>
                <w14:textFill>
                  <w14:solidFill>
                    <w14:schemeClr w14:val="tx1"/>
                  </w14:solidFill>
                </w14:textFill>
              </w:rPr>
            </w:pPr>
          </w:p>
        </w:tc>
        <w:tc>
          <w:tcPr>
            <w:tcW w:w="4590" w:type="dxa"/>
            <w:tcBorders>
              <w:top w:val="single" w:color="auto" w:sz="4" w:space="0"/>
              <w:left w:val="single" w:color="auto" w:sz="4" w:space="0"/>
              <w:bottom w:val="single" w:color="auto" w:sz="4" w:space="0"/>
              <w:right w:val="single" w:color="auto" w:sz="4" w:space="0"/>
            </w:tcBorders>
          </w:tcPr>
          <w:p>
            <w:pPr>
              <w:numPr>
                <w:ilvl w:val="0"/>
                <w:numId w:val="21"/>
              </w:numPr>
              <w:autoSpaceDE w:val="0"/>
              <w:autoSpaceDN w:val="0"/>
              <w:adjustRightInd w:val="0"/>
              <w:snapToGrid w:val="0"/>
              <w:spacing w:after="0" w:line="240" w:lineRule="auto"/>
              <w:contextualSpacing/>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 xml:space="preserve">Maximum number of indicated time window(s) N3  a UE can </w:t>
            </w:r>
            <w:r>
              <w:rPr>
                <w:rFonts w:hint="eastAsia" w:ascii="Times New Roman" w:hAnsi="Times New Roman"/>
                <w:color w:val="000000" w:themeColor="text1"/>
                <w:sz w:val="18"/>
                <w:szCs w:val="18"/>
                <w14:textFill>
                  <w14:solidFill>
                    <w14:schemeClr w14:val="tx1"/>
                  </w14:solidFill>
                </w14:textFill>
              </w:rPr>
              <w:t xml:space="preserve">transmit SRS </w:t>
            </w:r>
            <w:r>
              <w:rPr>
                <w:rFonts w:ascii="Times New Roman" w:hAnsi="Times New Roman"/>
                <w:color w:val="000000" w:themeColor="text1"/>
                <w:sz w:val="18"/>
                <w:szCs w:val="18"/>
                <w14:textFill>
                  <w14:solidFill>
                    <w14:schemeClr w14:val="tx1"/>
                  </w14:solidFill>
                </w14:textFill>
              </w:rPr>
              <w:t xml:space="preserve">in </w:t>
            </w:r>
            <w:r>
              <w:rPr>
                <w:rFonts w:ascii="Times New Roman" w:hAnsi="Times New Roman"/>
                <w:sz w:val="18"/>
                <w:szCs w:val="18"/>
              </w:rPr>
              <w:t>every</w:t>
            </w:r>
            <w:r>
              <w:rPr>
                <w:rFonts w:hint="eastAsia" w:ascii="Times New Roman" w:hAnsi="Times New Roman"/>
                <w:sz w:val="18"/>
                <w:szCs w:val="18"/>
              </w:rPr>
              <w:t xml:space="preserve"> </w:t>
            </w:r>
            <w:r>
              <w:rPr>
                <w:rFonts w:ascii="Times New Roman" w:hAnsi="Times New Roman"/>
                <w:color w:val="000000" w:themeColor="text1"/>
                <w:sz w:val="18"/>
                <w:szCs w:val="18"/>
                <w14:textFill>
                  <w14:solidFill>
                    <w14:schemeClr w14:val="tx1"/>
                  </w14:solidFill>
                </w14:textFill>
              </w:rPr>
              <w:t>T</w:t>
            </w:r>
            <w:r>
              <w:rPr>
                <w:rFonts w:hint="eastAsia" w:ascii="Times New Roman" w:hAnsi="Times New Roman"/>
                <w:color w:val="000000" w:themeColor="text1"/>
                <w:sz w:val="18"/>
                <w:szCs w:val="18"/>
                <w:vertAlign w:val="subscript"/>
                <w14:textFill>
                  <w14:solidFill>
                    <w14:schemeClr w14:val="tx1"/>
                  </w14:solidFill>
                </w14:textFill>
              </w:rPr>
              <w:t>SRS</w:t>
            </w:r>
            <w:r>
              <w:rPr>
                <w:rFonts w:ascii="Times New Roman" w:hAnsi="Times New Roman"/>
                <w:sz w:val="18"/>
                <w:szCs w:val="18"/>
              </w:rPr>
              <w:t xml:space="preserve"> ms</w:t>
            </w:r>
            <w:r>
              <w:rPr>
                <w:rFonts w:ascii="Times New Roman" w:hAnsi="Times New Roman"/>
                <w:color w:val="000000" w:themeColor="text1"/>
                <w:sz w:val="18"/>
                <w:szCs w:val="18"/>
                <w14:textFill>
                  <w14:solidFill>
                    <w14:schemeClr w14:val="tx1"/>
                  </w14:solidFill>
                </w14:textFill>
              </w:rPr>
              <w:t>, which is supported and reported by UE</w:t>
            </w:r>
            <w:r>
              <w:rPr>
                <w:rFonts w:hint="eastAsia" w:ascii="Times New Roman" w:hAnsi="Times New Roman"/>
                <w:color w:val="000000" w:themeColor="text1"/>
                <w:sz w:val="18"/>
                <w:szCs w:val="18"/>
                <w14:textFill>
                  <w14:solidFill>
                    <w14:schemeClr w14:val="tx1"/>
                  </w14:solidFill>
                </w14:textFill>
              </w:rPr>
              <w:t>.</w:t>
            </w:r>
          </w:p>
          <w:p>
            <w:pPr>
              <w:pStyle w:val="62"/>
              <w:numPr>
                <w:ilvl w:val="0"/>
                <w:numId w:val="22"/>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T</w:t>
            </w:r>
            <w:r>
              <w:rPr>
                <w:rFonts w:hint="eastAsia" w:ascii="Times New Roman" w:hAnsi="Times New Roman"/>
                <w:color w:val="000000" w:themeColor="text1"/>
                <w:szCs w:val="18"/>
                <w:vertAlign w:val="subscript"/>
                <w14:textFill>
                  <w14:solidFill>
                    <w14:schemeClr w14:val="tx1"/>
                  </w14:solidFill>
                </w14:textFill>
              </w:rPr>
              <w:t>SRS</w:t>
            </w:r>
            <w:r>
              <w:rPr>
                <w:rFonts w:ascii="Times New Roman" w:hAnsi="Times New Roman"/>
                <w:szCs w:val="18"/>
              </w:rPr>
              <w:t xml:space="preserve">: </w:t>
            </w:r>
            <w:r>
              <w:rPr>
                <w:rFonts w:ascii="Times New Roman" w:hAnsi="Times New Roman"/>
                <w:color w:val="000000" w:themeColor="text1"/>
                <w:szCs w:val="18"/>
                <w14:textFill>
                  <w14:solidFill>
                    <w14:schemeClr w14:val="tx1"/>
                  </w14:solidFill>
                </w14:textFill>
              </w:rPr>
              <w:t>{1, 2,</w:t>
            </w:r>
            <w:r>
              <w:rPr>
                <w:rFonts w:hint="eastAsia" w:ascii="Times New Roman" w:hAnsi="Times New Roman"/>
                <w:color w:val="000000" w:themeColor="text1"/>
                <w:szCs w:val="18"/>
                <w14:textFill>
                  <w14:solidFill>
                    <w14:schemeClr w14:val="tx1"/>
                  </w14:solidFill>
                </w14:textFill>
              </w:rPr>
              <w:t xml:space="preserve"> ..., T</w:t>
            </w:r>
            <w:r>
              <w:rPr>
                <w:rFonts w:ascii="Times New Roman" w:hAnsi="Times New Roman"/>
                <w:color w:val="000000" w:themeColor="text1"/>
                <w:szCs w:val="18"/>
                <w14:textFill>
                  <w14:solidFill>
                    <w14:schemeClr w14:val="tx1"/>
                  </w14:solidFill>
                </w14:textFill>
              </w:rPr>
              <w:t xml:space="preserve">} </w:t>
            </w:r>
            <w:r>
              <w:rPr>
                <w:rFonts w:hint="eastAsia" w:ascii="Times New Roman" w:hAnsi="Times New Roman"/>
                <w:color w:val="000000" w:themeColor="text1"/>
                <w:szCs w:val="18"/>
                <w14:textFill>
                  <w14:solidFill>
                    <w14:schemeClr w14:val="tx1"/>
                  </w14:solidFill>
                </w14:textFill>
              </w:rPr>
              <w:t>ms</w:t>
            </w:r>
          </w:p>
          <w:p>
            <w:pPr>
              <w:pStyle w:val="62"/>
              <w:numPr>
                <w:ilvl w:val="0"/>
                <w:numId w:val="22"/>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w:t>
            </w:r>
            <w:r>
              <w:rPr>
                <w:rFonts w:hint="eastAsia" w:ascii="Times New Roman" w:hAnsi="Times New Roman"/>
                <w:color w:val="000000" w:themeColor="text1"/>
                <w:szCs w:val="18"/>
                <w14:textFill>
                  <w14:solidFill>
                    <w14:schemeClr w14:val="tx1"/>
                  </w14:solidFill>
                </w14:textFill>
              </w:rPr>
              <w:t>3</w:t>
            </w:r>
            <w:r>
              <w:rPr>
                <w:rFonts w:ascii="Times New Roman" w:hAnsi="Times New Roman"/>
                <w:color w:val="000000" w:themeColor="text1"/>
                <w:szCs w:val="18"/>
                <w14:textFill>
                  <w14:solidFill>
                    <w14:schemeClr w14:val="tx1"/>
                  </w14:solidFill>
                </w14:textFill>
              </w:rPr>
              <w:t>: {1,2,...,N}</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FFS: The value</w:t>
            </w:r>
            <w:r>
              <w:rPr>
                <w:rFonts w:hint="eastAsia" w:ascii="Times New Roman" w:hAnsi="Times New Roman"/>
                <w:color w:val="000000" w:themeColor="text1"/>
                <w:szCs w:val="18"/>
                <w14:textFill>
                  <w14:solidFill>
                    <w14:schemeClr w14:val="tx1"/>
                  </w14:solidFill>
                </w14:textFill>
              </w:rPr>
              <w:t>s</w:t>
            </w:r>
            <w:r>
              <w:rPr>
                <w:rFonts w:ascii="Times New Roman" w:hAnsi="Times New Roman"/>
                <w:color w:val="000000" w:themeColor="text1"/>
                <w:szCs w:val="18"/>
                <w14:textFill>
                  <w14:solidFill>
                    <w14:schemeClr w14:val="tx1"/>
                  </w14:solidFill>
                </w14:textFill>
              </w:rPr>
              <w:t xml:space="preserve"> of</w:t>
            </w:r>
            <w:r>
              <w:rPr>
                <w:rFonts w:hint="eastAsia" w:ascii="Times New Roman" w:hAnsi="Times New Roman"/>
                <w:color w:val="000000" w:themeColor="text1"/>
                <w:szCs w:val="18"/>
                <w14:textFill>
                  <w14:solidFill>
                    <w14:schemeClr w14:val="tx1"/>
                  </w14:solidFill>
                </w14:textFill>
              </w:rPr>
              <w:t xml:space="preserve"> T, </w:t>
            </w:r>
            <w:r>
              <w:rPr>
                <w:rFonts w:ascii="Times New Roman" w:hAnsi="Times New Roman"/>
                <w:color w:val="000000" w:themeColor="text1"/>
                <w:szCs w:val="18"/>
                <w14:textFill>
                  <w14:solidFill>
                    <w14:schemeClr w14:val="tx1"/>
                  </w14:solidFill>
                </w14:textFill>
              </w:rPr>
              <w:t>N</w:t>
            </w:r>
          </w:p>
          <w:p>
            <w:pPr>
              <w:autoSpaceDE w:val="0"/>
              <w:autoSpaceDN w:val="0"/>
              <w:adjustRightInd w:val="0"/>
              <w:snapToGrid w:val="0"/>
              <w:spacing w:after="0" w:line="240" w:lineRule="auto"/>
              <w:contextualSpacing/>
              <w:rPr>
                <w:rFonts w:ascii="Times New Roman" w:hAnsi="Times New Roman"/>
                <w:color w:val="000000" w:themeColor="text1"/>
                <w:sz w:val="18"/>
                <w:szCs w:val="18"/>
                <w14:textFill>
                  <w14:solidFill>
                    <w14:schemeClr w14:val="tx1"/>
                  </w14:solidFill>
                </w14:textFill>
              </w:rPr>
            </w:pPr>
          </w:p>
          <w:p>
            <w:pPr>
              <w:numPr>
                <w:ilvl w:val="0"/>
                <w:numId w:val="21"/>
              </w:numPr>
              <w:autoSpaceDE w:val="0"/>
              <w:autoSpaceDN w:val="0"/>
              <w:adjustRightInd w:val="0"/>
              <w:snapToGrid w:val="0"/>
              <w:spacing w:after="0" w:line="240" w:lineRule="auto"/>
              <w:contextualSpacing/>
              <w:rPr>
                <w:rFonts w:ascii="Times New Roman" w:hAnsi="Times New Roman"/>
                <w:sz w:val="18"/>
                <w:szCs w:val="18"/>
              </w:rPr>
            </w:pPr>
            <w:r>
              <w:rPr>
                <w:rFonts w:hint="eastAsia" w:ascii="Times New Roman" w:hAnsi="Times New Roman"/>
                <w:color w:val="000000" w:themeColor="text1"/>
                <w:sz w:val="18"/>
                <w:szCs w:val="18"/>
                <w14:textFill>
                  <w14:solidFill>
                    <w14:schemeClr w14:val="tx1"/>
                  </w14:solidFill>
                </w14:textFill>
              </w:rPr>
              <w:t>Maximum d</w:t>
            </w:r>
            <w:r>
              <w:rPr>
                <w:rFonts w:ascii="Times New Roman" w:hAnsi="Times New Roman"/>
                <w:color w:val="000000" w:themeColor="text1"/>
                <w:sz w:val="18"/>
                <w:szCs w:val="18"/>
                <w14:textFill>
                  <w14:solidFill>
                    <w14:schemeClr w14:val="tx1"/>
                  </w14:solidFill>
                </w14:textFill>
              </w:rPr>
              <w:t xml:space="preserve">uration of </w:t>
            </w:r>
            <w:r>
              <w:rPr>
                <w:rFonts w:hint="eastAsia" w:ascii="Times New Roman" w:hAnsi="Times New Roman"/>
                <w:color w:val="000000" w:themeColor="text1"/>
                <w:sz w:val="18"/>
                <w:szCs w:val="18"/>
                <w14:textFill>
                  <w14:solidFill>
                    <w14:schemeClr w14:val="tx1"/>
                  </w14:solidFill>
                </w14:textFill>
              </w:rPr>
              <w:t>UL SRS for positioning</w:t>
            </w:r>
            <w:r>
              <w:rPr>
                <w:rFonts w:ascii="Times New Roman" w:hAnsi="Times New Roman"/>
                <w:color w:val="000000" w:themeColor="text1"/>
                <w:sz w:val="18"/>
                <w:szCs w:val="18"/>
                <w14:textFill>
                  <w14:solidFill>
                    <w14:schemeClr w14:val="tx1"/>
                  </w14:solidFill>
                </w14:textFill>
              </w:rPr>
              <w:t xml:space="preserve"> symbols N4 in units of ms </w:t>
            </w:r>
            <w:r>
              <w:rPr>
                <w:rFonts w:hint="eastAsia" w:ascii="Times New Roman" w:hAnsi="Times New Roman"/>
                <w:color w:val="000000" w:themeColor="text1"/>
                <w:sz w:val="18"/>
                <w:szCs w:val="18"/>
                <w14:textFill>
                  <w14:solidFill>
                    <w14:schemeClr w14:val="tx1"/>
                  </w14:solidFill>
                </w14:textFill>
              </w:rPr>
              <w:t xml:space="preserve">in </w:t>
            </w:r>
            <w:r>
              <w:rPr>
                <w:rFonts w:ascii="Times New Roman" w:hAnsi="Times New Roman"/>
                <w:color w:val="000000" w:themeColor="text1"/>
                <w:sz w:val="18"/>
                <w:szCs w:val="18"/>
                <w14:textFill>
                  <w14:solidFill>
                    <w14:schemeClr w14:val="tx1"/>
                  </w14:solidFill>
                </w14:textFill>
              </w:rPr>
              <w:t>each indicated time window</w:t>
            </w:r>
            <w:r>
              <w:rPr>
                <w:rFonts w:hint="eastAsia" w:ascii="Times New Roman" w:hAnsi="Times New Roman"/>
                <w:color w:val="000000" w:themeColor="text1"/>
                <w:sz w:val="18"/>
                <w:szCs w:val="18"/>
                <w14:textFill>
                  <w14:solidFill>
                    <w14:schemeClr w14:val="tx1"/>
                  </w14:solidFill>
                </w14:textFill>
              </w:rPr>
              <w:t>.</w:t>
            </w:r>
          </w:p>
          <w:p>
            <w:pPr>
              <w:pStyle w:val="62"/>
              <w:numPr>
                <w:ilvl w:val="0"/>
                <w:numId w:val="23"/>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w:t>
            </w:r>
            <w:r>
              <w:rPr>
                <w:rFonts w:hint="eastAsia" w:ascii="Times New Roman" w:hAnsi="Times New Roman"/>
                <w:color w:val="000000" w:themeColor="text1"/>
                <w:szCs w:val="18"/>
                <w14:textFill>
                  <w14:solidFill>
                    <w14:schemeClr w14:val="tx1"/>
                  </w14:solidFill>
                </w14:textFill>
              </w:rPr>
              <w:t>4</w:t>
            </w:r>
            <w:r>
              <w:rPr>
                <w:rFonts w:ascii="Times New Roman" w:hAnsi="Times New Roman"/>
                <w:color w:val="000000" w:themeColor="text1"/>
                <w:szCs w:val="18"/>
                <w14:textFill>
                  <w14:solidFill>
                    <w14:schemeClr w14:val="tx1"/>
                  </w14:solidFill>
                </w14:textFill>
              </w:rPr>
              <w:t>: {1,2,...</w:t>
            </w:r>
            <w:r>
              <w:rPr>
                <w:rFonts w:hint="eastAsia" w:ascii="Times New Roman" w:hAnsi="Times New Roman"/>
                <w:color w:val="000000" w:themeColor="text1"/>
                <w:szCs w:val="18"/>
                <w14:textFill>
                  <w14:solidFill>
                    <w14:schemeClr w14:val="tx1"/>
                  </w14:solidFill>
                </w14:textFill>
              </w:rPr>
              <w:t>K</w:t>
            </w:r>
            <w:r>
              <w:rPr>
                <w:rFonts w:ascii="Times New Roman" w:hAnsi="Times New Roman"/>
                <w:color w:val="000000" w:themeColor="text1"/>
                <w:szCs w:val="18"/>
                <w14:textFill>
                  <w14:solidFill>
                    <w14:schemeClr w14:val="tx1"/>
                  </w14:solidFill>
                </w14:textFill>
              </w:rPr>
              <w:t>}</w:t>
            </w:r>
            <w:r>
              <w:rPr>
                <w:rFonts w:hint="eastAsia" w:ascii="Times New Roman" w:hAnsi="Times New Roman"/>
                <w:color w:val="000000" w:themeColor="text1"/>
                <w:szCs w:val="18"/>
                <w14:textFill>
                  <w14:solidFill>
                    <w14:schemeClr w14:val="tx1"/>
                  </w14:solidFill>
                </w14:textFill>
              </w:rPr>
              <w:t xml:space="preserve"> ms</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FFS: The value of </w:t>
            </w:r>
            <w:r>
              <w:rPr>
                <w:rFonts w:hint="eastAsia" w:ascii="Times New Roman" w:hAnsi="Times New Roman"/>
                <w:color w:val="000000" w:themeColor="text1"/>
                <w:szCs w:val="18"/>
                <w14:textFill>
                  <w14:solidFill>
                    <w14:schemeClr w14:val="tx1"/>
                  </w14:solidFill>
                </w14:textFill>
              </w:rPr>
              <w:t>K</w:t>
            </w:r>
          </w:p>
        </w:tc>
        <w:tc>
          <w:tcPr>
            <w:tcW w:w="127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13-8</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20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121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25" w:type="dxa"/>
            <w:tcBorders>
              <w:top w:val="single" w:color="auto" w:sz="4" w:space="0"/>
              <w:left w:val="single" w:color="auto" w:sz="4" w:space="0"/>
              <w:bottom w:val="single" w:color="auto" w:sz="4" w:space="0"/>
              <w:right w:val="single" w:color="auto" w:sz="4" w:space="0"/>
            </w:tcBorders>
          </w:tcPr>
          <w:p>
            <w:pPr>
              <w:pStyle w:val="3"/>
              <w:numPr>
                <w:ilvl w:val="1"/>
                <w:numId w:val="0"/>
              </w:numPr>
              <w:snapToGrid w:val="0"/>
              <w:spacing w:before="0" w:after="0" w:line="240" w:lineRule="auto"/>
              <w:jc w:val="both"/>
              <w:rPr>
                <w:rFonts w:eastAsia="宋体"/>
                <w:b w:val="0"/>
                <w:bCs w:val="0"/>
                <w:color w:val="000000" w:themeColor="text1"/>
                <w:sz w:val="18"/>
                <w:szCs w:val="18"/>
                <w:lang w:val="en-US"/>
                <w14:textFill>
                  <w14:solidFill>
                    <w14:schemeClr w14:val="tx1"/>
                  </w14:solidFill>
                </w14:textFill>
              </w:rPr>
            </w:pPr>
            <w:r>
              <w:rPr>
                <w:rFonts w:hint="eastAsia" w:eastAsia="宋体"/>
                <w:b w:val="0"/>
                <w:bCs w:val="0"/>
                <w:color w:val="000000" w:themeColor="text1"/>
                <w:sz w:val="18"/>
                <w:szCs w:val="18"/>
                <w:lang w:val="en-US"/>
                <w14:textFill>
                  <w14:solidFill>
                    <w14:schemeClr w14:val="tx1"/>
                  </w14:solidFill>
                </w14:textFill>
              </w:rPr>
              <w:t>Transmission of SRS for positioning wi</w:t>
            </w:r>
            <w:r>
              <w:rPr>
                <w:rFonts w:eastAsia="宋体"/>
                <w:b w:val="0"/>
                <w:bCs w:val="0"/>
                <w:color w:val="000000" w:themeColor="text1"/>
                <w:sz w:val="18"/>
                <w:szCs w:val="18"/>
                <w:lang w:val="en-US"/>
                <w14:textFill>
                  <w14:solidFill>
                    <w14:schemeClr w14:val="tx1"/>
                  </w14:solidFill>
                </w14:textFill>
              </w:rPr>
              <w:t>thin the indicated time window(s)</w:t>
            </w:r>
          </w:p>
          <w:p>
            <w:pPr>
              <w:pStyle w:val="62"/>
              <w:adjustRightInd w:val="0"/>
              <w:snapToGrid w:val="0"/>
              <w:spacing w:line="240" w:lineRule="auto"/>
              <w:rPr>
                <w:rFonts w:ascii="Times New Roman" w:hAnsi="Times New Roman" w:eastAsia="宋体"/>
                <w:color w:val="000000" w:themeColor="text1"/>
                <w:szCs w:val="18"/>
                <w:lang w:val="en-GB" w:eastAsia="ja-JP"/>
                <w14:textFill>
                  <w14:solidFill>
                    <w14:schemeClr w14:val="tx1"/>
                  </w14:solidFill>
                </w14:textFill>
              </w:rPr>
            </w:pPr>
            <w:r>
              <w:rPr>
                <w:rFonts w:ascii="Times New Roman" w:hAnsi="Times New Roman" w:eastAsia="宋体"/>
                <w:color w:val="000000" w:themeColor="text1"/>
                <w:szCs w:val="18"/>
                <w:lang w:eastAsia="ja-JP"/>
                <w14:textFill>
                  <w14:solidFill>
                    <w14:schemeClr w14:val="tx1"/>
                  </w14:solidFill>
                </w14:textFill>
              </w:rPr>
              <w:t>is not supported</w:t>
            </w:r>
          </w:p>
        </w:tc>
        <w:tc>
          <w:tcPr>
            <w:tcW w:w="217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123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195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14:textFill>
                  <w14:solidFill>
                    <w14:schemeClr w14:val="tx1"/>
                  </w14:solidFill>
                </w14:textFill>
              </w:rPr>
            </w:pPr>
            <w:r>
              <w:rPr>
                <w:rFonts w:hint="eastAsia" w:ascii="Times New Roman" w:hAnsi="Times New Roman" w:eastAsia="宋体"/>
                <w:color w:val="000000" w:themeColor="text1"/>
                <w:szCs w:val="18"/>
                <w14:textFill>
                  <w14:solidFill>
                    <w14:schemeClr w14:val="tx1"/>
                  </w14:solidFill>
                </w14:textFill>
              </w:rPr>
              <w:t>N</w:t>
            </w:r>
            <w:r>
              <w:rPr>
                <w:rFonts w:ascii="Times New Roman" w:hAnsi="Times New Roman" w:eastAsia="宋体"/>
                <w:color w:val="000000" w:themeColor="text1"/>
                <w:szCs w:val="18"/>
                <w14:textFill>
                  <w14:solidFill>
                    <w14:schemeClr w14:val="tx1"/>
                  </w14:solidFill>
                </w14:textFill>
              </w:rPr>
              <w:t>eed for location server to know if the feature is supported.</w:t>
            </w:r>
          </w:p>
        </w:tc>
        <w:tc>
          <w:tcPr>
            <w:tcW w:w="157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bl>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LPHAP</w:t>
      </w:r>
    </w:p>
    <w:p>
      <w:pPr>
        <w:rPr>
          <w:rFonts w:ascii="Times New Roman" w:hAnsi="Times New Roman"/>
          <w:sz w:val="20"/>
          <w:szCs w:val="20"/>
        </w:rPr>
      </w:pPr>
      <w:r>
        <w:rPr>
          <w:rFonts w:hint="eastAsia" w:ascii="Times New Roman" w:hAnsi="Times New Roman"/>
          <w:sz w:val="20"/>
          <w:szCs w:val="20"/>
        </w:rPr>
        <w:t>For LPHAP, we provide our views on UE features as below:</w:t>
      </w:r>
    </w:p>
    <w:p>
      <w:pPr>
        <w:snapToGrid w:val="0"/>
        <w:spacing w:before="120" w:after="120" w:line="240" w:lineRule="auto"/>
        <w:rPr>
          <w:rFonts w:ascii="Times New Roman" w:hAnsi="Times New Roman"/>
          <w:i/>
          <w:iCs/>
          <w:sz w:val="20"/>
          <w:szCs w:val="20"/>
        </w:rPr>
      </w:pPr>
      <w:r>
        <w:rPr>
          <w:rFonts w:ascii="Times New Roman" w:hAnsi="Times New Roman"/>
          <w:b/>
          <w:bCs/>
          <w:i/>
          <w:iCs/>
          <w:sz w:val="20"/>
          <w:szCs w:val="20"/>
          <w:lang w:val="en-GB" w:eastAsia="sv-SE"/>
        </w:rPr>
        <w:t xml:space="preserve">Proposal </w:t>
      </w:r>
      <w:r>
        <w:rPr>
          <w:rFonts w:ascii="Times New Roman" w:hAnsi="Times New Roman"/>
          <w:b/>
          <w:bCs/>
          <w:i/>
          <w:iCs/>
          <w:sz w:val="20"/>
          <w:szCs w:val="20"/>
          <w:lang w:val="en-GB" w:eastAsia="sv-SE"/>
        </w:rPr>
        <w:fldChar w:fldCharType="begin"/>
      </w:r>
      <w:r>
        <w:rPr>
          <w:rFonts w:ascii="Times New Roman" w:hAnsi="Times New Roman"/>
          <w:b/>
          <w:bCs/>
          <w:i/>
          <w:iCs/>
          <w:sz w:val="20"/>
          <w:szCs w:val="20"/>
          <w:lang w:val="en-GB" w:eastAsia="sv-SE"/>
        </w:rPr>
        <w:instrText xml:space="preserve"> SEQ Proposal \* ARABIC </w:instrText>
      </w:r>
      <w:r>
        <w:rPr>
          <w:rFonts w:ascii="Times New Roman" w:hAnsi="Times New Roman"/>
          <w:b/>
          <w:bCs/>
          <w:i/>
          <w:iCs/>
          <w:sz w:val="20"/>
          <w:szCs w:val="20"/>
          <w:lang w:val="en-GB" w:eastAsia="sv-SE"/>
        </w:rPr>
        <w:fldChar w:fldCharType="separate"/>
      </w:r>
      <w:r>
        <w:rPr>
          <w:rFonts w:ascii="Times New Roman" w:hAnsi="Times New Roman"/>
          <w:b/>
          <w:bCs/>
          <w:i/>
          <w:iCs/>
          <w:sz w:val="20"/>
          <w:szCs w:val="20"/>
          <w:lang w:val="en-GB" w:eastAsia="sv-SE"/>
        </w:rPr>
        <w:t>11</w:t>
      </w:r>
      <w:r>
        <w:rPr>
          <w:rFonts w:ascii="Times New Roman" w:hAnsi="Times New Roman"/>
          <w:b/>
          <w:bCs/>
          <w:i/>
          <w:iCs/>
          <w:sz w:val="20"/>
          <w:szCs w:val="20"/>
          <w:lang w:val="en-GB" w:eastAsia="sv-SE"/>
        </w:rPr>
        <w:fldChar w:fldCharType="end"/>
      </w:r>
      <w:r>
        <w:rPr>
          <w:rFonts w:hint="eastAsia" w:ascii="Times New Roman" w:hAnsi="Times New Roman"/>
          <w:b/>
          <w:bCs/>
          <w:i/>
          <w:iCs/>
          <w:sz w:val="20"/>
          <w:szCs w:val="20"/>
        </w:rPr>
        <w:t xml:space="preserve">: </w:t>
      </w:r>
      <w:r>
        <w:rPr>
          <w:rFonts w:hint="eastAsia" w:ascii="Times New Roman" w:hAnsi="Times New Roman"/>
          <w:i/>
          <w:iCs/>
          <w:sz w:val="20"/>
          <w:szCs w:val="20"/>
        </w:rPr>
        <w:t>Introduce a new FG 41-3-1 for LPHAP:</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 Report whether UE support positioning SRS transmission in RRC_INACTIVE state within an</w:t>
      </w:r>
      <w:r>
        <w:rPr>
          <w:rFonts w:hint="eastAsia" w:ascii="Times New Roman" w:hAnsi="Times New Roman"/>
          <w:i/>
          <w:iCs/>
          <w:sz w:val="20"/>
          <w:szCs w:val="20"/>
          <w:lang w:eastAsia="ko-KR"/>
        </w:rPr>
        <w:t xml:space="preserve"> SRS positioning validity area</w:t>
      </w:r>
      <w:r>
        <w:rPr>
          <w:rFonts w:hint="eastAsia" w:ascii="Times New Roman" w:hAnsi="Times New Roman"/>
          <w:i/>
          <w:iCs/>
          <w:sz w:val="20"/>
          <w:szCs w:val="20"/>
        </w:rPr>
        <w:t xml:space="preserve">. </w:t>
      </w:r>
    </w:p>
    <w:p>
      <w:pPr>
        <w:snapToGrid w:val="0"/>
        <w:spacing w:before="120" w:after="120" w:line="240" w:lineRule="auto"/>
        <w:rPr>
          <w:rFonts w:ascii="Times New Roman" w:hAnsi="Times New Roman"/>
          <w:i/>
          <w:iCs/>
          <w:sz w:val="20"/>
          <w:szCs w:val="20"/>
        </w:rPr>
      </w:pPr>
    </w:p>
    <w:tbl>
      <w:tblPr>
        <w:tblStyle w:val="27"/>
        <w:tblW w:w="22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695"/>
        <w:gridCol w:w="4462"/>
        <w:gridCol w:w="1320"/>
        <w:gridCol w:w="1283"/>
        <w:gridCol w:w="1131"/>
        <w:gridCol w:w="1636"/>
        <w:gridCol w:w="2048"/>
        <w:gridCol w:w="1497"/>
        <w:gridCol w:w="1462"/>
        <w:gridCol w:w="1111"/>
        <w:gridCol w:w="223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Index</w:t>
            </w:r>
          </w:p>
        </w:tc>
        <w:tc>
          <w:tcPr>
            <w:tcW w:w="16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Feature group</w:t>
            </w:r>
          </w:p>
        </w:tc>
        <w:tc>
          <w:tcPr>
            <w:tcW w:w="4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Components</w:t>
            </w:r>
          </w:p>
        </w:tc>
        <w:tc>
          <w:tcPr>
            <w:tcW w:w="13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Prerequisite feature groups</w:t>
            </w:r>
          </w:p>
        </w:tc>
        <w:tc>
          <w:tcPr>
            <w:tcW w:w="12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for the gNB to know if the feature is supported</w:t>
            </w:r>
          </w:p>
        </w:tc>
        <w:tc>
          <w:tcPr>
            <w:tcW w:w="11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Gulim" w:cs="Arial"/>
                <w:b/>
                <w:color w:val="000000"/>
                <w:sz w:val="18"/>
                <w:szCs w:val="18"/>
                <w:lang w:val="en-GB" w:eastAsia="ja-JP"/>
              </w:rPr>
              <w:t xml:space="preserve">Applicable to </w:t>
            </w:r>
            <w:r>
              <w:rPr>
                <w:rFonts w:ascii="Arial" w:hAnsi="Arial" w:eastAsia="Times New Roman" w:cs="Arial"/>
                <w:b/>
                <w:color w:val="000000"/>
                <w:sz w:val="18"/>
                <w:szCs w:val="18"/>
                <w:lang w:val="en-GB" w:eastAsia="ja-JP"/>
              </w:rPr>
              <w:t>the capability signalling exchange between UEs (Sidelink WI only)”.</w:t>
            </w:r>
          </w:p>
        </w:tc>
        <w:tc>
          <w:tcPr>
            <w:tcW w:w="1636"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Consequence if the feature is not supported by the UE</w:t>
            </w:r>
          </w:p>
        </w:tc>
        <w:tc>
          <w:tcPr>
            <w:tcW w:w="2048"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Type</w:t>
            </w:r>
          </w:p>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(the ‘type’ definition from UE features should be based on the granularity of 1) Per UE or 2) Per Band or 3) Per BC or 4) Per FS or 5) Per FSPC)</w:t>
            </w:r>
          </w:p>
        </w:tc>
        <w:tc>
          <w:tcPr>
            <w:tcW w:w="1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FDD/TDD differentiation</w:t>
            </w:r>
          </w:p>
        </w:tc>
        <w:tc>
          <w:tcPr>
            <w:tcW w:w="1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FR1/FR2 differentiation</w:t>
            </w:r>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Capability interpretation for mixture of FDD/TDD and/or FR1/FR2</w:t>
            </w:r>
          </w:p>
        </w:tc>
        <w:tc>
          <w:tcPr>
            <w:tcW w:w="22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Note</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41-</w:t>
            </w:r>
            <w:r>
              <w:rPr>
                <w:rFonts w:hint="eastAsia" w:ascii="Times New Roman" w:hAnsi="Times New Roman"/>
                <w:szCs w:val="18"/>
              </w:rPr>
              <w:t>3</w:t>
            </w:r>
            <w:r>
              <w:rPr>
                <w:rFonts w:ascii="Times New Roman" w:hAnsi="Times New Roman"/>
                <w:szCs w:val="18"/>
              </w:rPr>
              <w:t>-1</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szCs w:val="18"/>
              </w:rPr>
            </w:pPr>
            <w:r>
              <w:rPr>
                <w:rFonts w:hint="eastAsia" w:ascii="Times New Roman" w:hAnsi="Times New Roman"/>
                <w:szCs w:val="18"/>
              </w:rPr>
              <w:t>Positioning SRS transmission in RRC inactive state within an</w:t>
            </w:r>
            <w:r>
              <w:rPr>
                <w:rFonts w:hint="eastAsia" w:ascii="Times New Roman" w:hAnsi="Times New Roman"/>
                <w:szCs w:val="18"/>
                <w:lang w:eastAsia="ko-KR"/>
              </w:rPr>
              <w:t xml:space="preserve"> SRS positioning validity area</w:t>
            </w:r>
          </w:p>
        </w:tc>
        <w:tc>
          <w:tcPr>
            <w:tcW w:w="4462" w:type="dxa"/>
            <w:tcBorders>
              <w:top w:val="single" w:color="auto" w:sz="4" w:space="0"/>
              <w:left w:val="single" w:color="auto" w:sz="4" w:space="0"/>
              <w:bottom w:val="single" w:color="auto" w:sz="4" w:space="0"/>
              <w:right w:val="single" w:color="auto" w:sz="4" w:space="0"/>
            </w:tcBorders>
          </w:tcPr>
          <w:p>
            <w:pPr>
              <w:pStyle w:val="62"/>
              <w:numPr>
                <w:ilvl w:val="0"/>
                <w:numId w:val="24"/>
              </w:numPr>
              <w:snapToGrid w:val="0"/>
              <w:spacing w:line="240" w:lineRule="auto"/>
              <w:rPr>
                <w:rFonts w:ascii="Times New Roman" w:hAnsi="Times New Roman"/>
                <w:szCs w:val="18"/>
              </w:rPr>
            </w:pPr>
            <w:r>
              <w:rPr>
                <w:rFonts w:hint="eastAsia" w:ascii="Times New Roman" w:hAnsi="Times New Roman"/>
                <w:szCs w:val="18"/>
              </w:rPr>
              <w:t>Support of positioning SRS transmission in RRC inactive state within an</w:t>
            </w:r>
            <w:r>
              <w:rPr>
                <w:rFonts w:hint="eastAsia" w:ascii="Times New Roman" w:hAnsi="Times New Roman"/>
                <w:szCs w:val="18"/>
                <w:lang w:eastAsia="ko-KR"/>
              </w:rPr>
              <w:t xml:space="preserve"> SRS positioning validity area</w:t>
            </w:r>
          </w:p>
          <w:p>
            <w:pPr>
              <w:pStyle w:val="62"/>
              <w:snapToGrid w:val="0"/>
              <w:spacing w:line="240" w:lineRule="auto"/>
              <w:ind w:left="220" w:leftChars="100"/>
              <w:rPr>
                <w:rFonts w:ascii="Times New Roman" w:hAnsi="Times New Roman"/>
                <w:color w:val="000000" w:themeColor="text1"/>
                <w:szCs w:val="18"/>
                <w14:textFill>
                  <w14:solidFill>
                    <w14:schemeClr w14:val="tx1"/>
                  </w14:solidFill>
                </w14:textFill>
              </w:rPr>
            </w:pPr>
            <w:r>
              <w:rPr>
                <w:rFonts w:ascii="Times New Roman" w:hAnsi="Times New Roman"/>
                <w:szCs w:val="18"/>
              </w:rPr>
              <w:t xml:space="preserve"> </w:t>
            </w:r>
          </w:p>
          <w:p>
            <w:pPr>
              <w:pStyle w:val="62"/>
              <w:snapToGrid w:val="0"/>
              <w:spacing w:line="240" w:lineRule="auto"/>
              <w:rPr>
                <w:rFonts w:ascii="Times New Roman" w:hAnsi="Times New Roman"/>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trike/>
                <w:color w:val="000000" w:themeColor="text1"/>
                <w:szCs w:val="18"/>
                <w:highlight w:val="yellow"/>
                <w14:textFill>
                  <w14:solidFill>
                    <w14:schemeClr w14:val="tx1"/>
                  </w14:solidFill>
                </w14:textFill>
              </w:rPr>
            </w:pPr>
            <w:r>
              <w:rPr>
                <w:rFonts w:hint="eastAsia" w:ascii="Times New Roman" w:hAnsi="Times New Roman"/>
                <w:color w:val="000000" w:themeColor="text1"/>
                <w:szCs w:val="18"/>
                <w14:textFill>
                  <w14:solidFill>
                    <w14:schemeClr w14:val="tx1"/>
                  </w14:solidFill>
                </w14:textFill>
              </w:rPr>
              <w:t>27-15, 27-15b</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000000" w:themeColor="text1"/>
                <w:szCs w:val="18"/>
                <w14:textFill>
                  <w14:solidFill>
                    <w14:schemeClr w14:val="tx1"/>
                  </w14:solidFill>
                </w14:textFill>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szCs w:val="18"/>
              </w:rPr>
              <w:t>Positioning SRS transmission in RRC inactive state within a validity area</w:t>
            </w:r>
            <w:r>
              <w:rPr>
                <w:rFonts w:ascii="Times New Roman" w:hAnsi="Times New Roman" w:eastAsia="宋体"/>
                <w:color w:val="000000" w:themeColor="text1"/>
                <w:szCs w:val="18"/>
                <w14:textFill>
                  <w14:solidFill>
                    <w14:schemeClr w14:val="tx1"/>
                  </w14:solidFill>
                </w14:textFill>
              </w:rPr>
              <w:t xml:space="preserve">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Per </w:t>
            </w:r>
            <w:r>
              <w:rPr>
                <w:rFonts w:hint="eastAsia" w:ascii="Times New Roman" w:hAnsi="Times New Roman"/>
                <w:color w:val="000000" w:themeColor="text1"/>
                <w:szCs w:val="18"/>
                <w14:textFill>
                  <w14:solidFill>
                    <w14:schemeClr w14:val="tx1"/>
                  </w14:solidFill>
                </w14:textFill>
              </w:rPr>
              <w:t>UE</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sz w:val="18"/>
                <w:szCs w:val="18"/>
              </w:rPr>
            </w:pPr>
            <w:r>
              <w:rPr>
                <w:rFonts w:ascii="Times New Roman" w:hAnsi="Times New Roman"/>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bl>
    <w:p>
      <w:pPr>
        <w:autoSpaceDE w:val="0"/>
        <w:autoSpaceDN w:val="0"/>
        <w:adjustRightInd w:val="0"/>
        <w:snapToGrid w:val="0"/>
        <w:spacing w:before="180" w:beforeLines="50" w:after="180" w:afterLines="50" w:line="240" w:lineRule="auto"/>
        <w:jc w:val="both"/>
        <w:rPr>
          <w:rFonts w:ascii="Times New Roman" w:hAnsi="Times New Roman"/>
          <w:sz w:val="20"/>
          <w:szCs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bandwidth aggregation for positioning measurements</w:t>
      </w:r>
    </w:p>
    <w:p>
      <w:pPr>
        <w:rPr>
          <w:rFonts w:ascii="Times New Roman" w:hAnsi="Times New Roman"/>
          <w:sz w:val="20"/>
          <w:szCs w:val="20"/>
        </w:rPr>
      </w:pPr>
      <w:r>
        <w:rPr>
          <w:rFonts w:hint="eastAsia" w:ascii="Times New Roman" w:hAnsi="Times New Roman"/>
          <w:sz w:val="20"/>
          <w:szCs w:val="20"/>
        </w:rPr>
        <w:t>For PRS bandwidth aggregation, we provide our views on UE features as below:</w:t>
      </w:r>
    </w:p>
    <w:p>
      <w:pPr>
        <w:snapToGrid w:val="0"/>
        <w:spacing w:before="120" w:after="120" w:line="240" w:lineRule="auto"/>
        <w:rPr>
          <w:rFonts w:ascii="Times New Roman" w:hAnsi="Times New Roman"/>
          <w:i/>
          <w:iCs/>
          <w:sz w:val="20"/>
          <w:szCs w:val="20"/>
        </w:rPr>
      </w:pPr>
      <w:r>
        <w:rPr>
          <w:rFonts w:ascii="Times New Roman" w:hAnsi="Times New Roman"/>
          <w:b/>
          <w:bCs/>
          <w:i/>
          <w:iCs/>
          <w:sz w:val="20"/>
          <w:szCs w:val="20"/>
          <w:lang w:val="en-GB" w:eastAsia="sv-SE"/>
        </w:rPr>
        <w:t xml:space="preserve">Proposal </w:t>
      </w:r>
      <w:r>
        <w:rPr>
          <w:rFonts w:ascii="Times New Roman" w:hAnsi="Times New Roman"/>
          <w:b/>
          <w:bCs/>
          <w:i/>
          <w:iCs/>
          <w:sz w:val="20"/>
          <w:szCs w:val="20"/>
          <w:lang w:val="en-GB" w:eastAsia="sv-SE"/>
        </w:rPr>
        <w:fldChar w:fldCharType="begin"/>
      </w:r>
      <w:r>
        <w:rPr>
          <w:rFonts w:ascii="Times New Roman" w:hAnsi="Times New Roman"/>
          <w:b/>
          <w:bCs/>
          <w:i/>
          <w:iCs/>
          <w:sz w:val="20"/>
          <w:szCs w:val="20"/>
          <w:lang w:val="en-GB" w:eastAsia="sv-SE"/>
        </w:rPr>
        <w:instrText xml:space="preserve"> SEQ Proposal \* ARABIC </w:instrText>
      </w:r>
      <w:r>
        <w:rPr>
          <w:rFonts w:ascii="Times New Roman" w:hAnsi="Times New Roman"/>
          <w:b/>
          <w:bCs/>
          <w:i/>
          <w:iCs/>
          <w:sz w:val="20"/>
          <w:szCs w:val="20"/>
          <w:lang w:val="en-GB" w:eastAsia="sv-SE"/>
        </w:rPr>
        <w:fldChar w:fldCharType="separate"/>
      </w:r>
      <w:r>
        <w:rPr>
          <w:rFonts w:ascii="Times New Roman" w:hAnsi="Times New Roman"/>
          <w:b/>
          <w:bCs/>
          <w:i/>
          <w:iCs/>
          <w:sz w:val="20"/>
          <w:szCs w:val="20"/>
          <w:lang w:val="en-GB" w:eastAsia="sv-SE"/>
        </w:rPr>
        <w:t>12</w:t>
      </w:r>
      <w:r>
        <w:rPr>
          <w:rFonts w:ascii="Times New Roman" w:hAnsi="Times New Roman"/>
          <w:b/>
          <w:bCs/>
          <w:i/>
          <w:iCs/>
          <w:sz w:val="20"/>
          <w:szCs w:val="20"/>
          <w:lang w:val="en-GB" w:eastAsia="sv-SE"/>
        </w:rPr>
        <w:fldChar w:fldCharType="end"/>
      </w:r>
      <w:r>
        <w:rPr>
          <w:rFonts w:hint="eastAsia" w:ascii="Times New Roman" w:hAnsi="Times New Roman"/>
          <w:b/>
          <w:bCs/>
          <w:i/>
          <w:iCs/>
          <w:sz w:val="20"/>
          <w:szCs w:val="20"/>
        </w:rPr>
        <w:t xml:space="preserve">: </w:t>
      </w:r>
      <w:r>
        <w:rPr>
          <w:rFonts w:hint="eastAsia" w:ascii="Times New Roman" w:hAnsi="Times New Roman"/>
          <w:i/>
          <w:iCs/>
          <w:sz w:val="20"/>
          <w:szCs w:val="20"/>
        </w:rPr>
        <w:t xml:space="preserve">Introduce a new FG 41-4-1 for </w:t>
      </w:r>
      <w:r>
        <w:rPr>
          <w:rFonts w:ascii="Times New Roman" w:hAnsi="Times New Roman"/>
          <w:i/>
          <w:iCs/>
          <w:sz w:val="20"/>
          <w:szCs w:val="20"/>
        </w:rPr>
        <w:t>DL PRS processing capability for PRS bandwidth aggregation measurement in MG</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Report the maximum number of aggregated PFLs F. </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The maximum aggregated bandwidth can be derived from F and the maximum bandwidth reported by legacy FG 13-1. </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PRS processing time {N</w:t>
      </w:r>
      <w:r>
        <w:rPr>
          <w:rFonts w:hint="eastAsia" w:ascii="Times New Roman" w:hAnsi="Times New Roman"/>
          <w:i/>
          <w:iCs/>
          <w:sz w:val="20"/>
          <w:szCs w:val="20"/>
          <w:vertAlign w:val="subscript"/>
        </w:rPr>
        <w:t>Agg</w:t>
      </w:r>
      <w:r>
        <w:rPr>
          <w:rFonts w:hint="eastAsia" w:ascii="Times New Roman" w:hAnsi="Times New Roman"/>
          <w:i/>
          <w:iCs/>
          <w:sz w:val="20"/>
          <w:szCs w:val="20"/>
        </w:rPr>
        <w:t>, T</w:t>
      </w:r>
      <w:r>
        <w:rPr>
          <w:rFonts w:hint="eastAsia" w:ascii="Times New Roman" w:hAnsi="Times New Roman"/>
          <w:i/>
          <w:iCs/>
          <w:sz w:val="20"/>
          <w:szCs w:val="20"/>
          <w:vertAlign w:val="subscript"/>
        </w:rPr>
        <w:t>Agg</w:t>
      </w:r>
      <w:r>
        <w:rPr>
          <w:rFonts w:hint="eastAsia" w:ascii="Times New Roman" w:hAnsi="Times New Roman"/>
          <w:i/>
          <w:iCs/>
          <w:sz w:val="20"/>
          <w:szCs w:val="20"/>
        </w:rPr>
        <w:t xml:space="preserve">} for aggregation. </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{N, T} for single PFL, more UE processing time is needed for aggregation measurement. Hence, </w:t>
      </w:r>
      <w:r>
        <w:rPr>
          <w:rFonts w:ascii="Times New Roman" w:hAnsi="Times New Roman"/>
          <w:i/>
          <w:iCs/>
          <w:color w:val="000000" w:themeColor="text1"/>
          <w:sz w:val="20"/>
          <w:szCs w:val="20"/>
          <w14:textFill>
            <w14:solidFill>
              <w14:schemeClr w14:val="tx1"/>
            </w14:solidFill>
          </w14:textFill>
        </w:rPr>
        <w:t>N</w:t>
      </w:r>
      <w:r>
        <w:rPr>
          <w:rFonts w:ascii="Times New Roman" w:hAnsi="Times New Roman"/>
          <w:i/>
          <w:iCs/>
          <w:color w:val="000000" w:themeColor="text1"/>
          <w:sz w:val="20"/>
          <w:szCs w:val="20"/>
          <w:vertAlign w:val="subscript"/>
          <w14:textFill>
            <w14:solidFill>
              <w14:schemeClr w14:val="tx1"/>
            </w14:solidFill>
          </w14:textFill>
        </w:rPr>
        <w:t>Agg</w:t>
      </w:r>
      <w:r>
        <w:rPr>
          <w:rFonts w:ascii="Times New Roman" w:hAnsi="Times New Roman"/>
          <w:i/>
          <w:iCs/>
          <w:sz w:val="20"/>
          <w:szCs w:val="20"/>
        </w:rPr>
        <w:t xml:space="preserve"> ≤ N or T</w:t>
      </w:r>
      <w:r>
        <w:rPr>
          <w:rFonts w:ascii="Times New Roman" w:hAnsi="Times New Roman"/>
          <w:i/>
          <w:iCs/>
          <w:sz w:val="20"/>
          <w:szCs w:val="20"/>
          <w:vertAlign w:val="subscript"/>
        </w:rPr>
        <w:t>Agg</w:t>
      </w:r>
      <w:r>
        <w:rPr>
          <w:rFonts w:ascii="Times New Roman" w:hAnsi="Times New Roman"/>
          <w:i/>
          <w:iCs/>
          <w:sz w:val="20"/>
          <w:szCs w:val="20"/>
        </w:rPr>
        <w:t>≥ T</w:t>
      </w:r>
      <w:r>
        <w:rPr>
          <w:rFonts w:hint="eastAsia" w:ascii="Times New Roman" w:hAnsi="Times New Roman"/>
          <w:i/>
          <w:iCs/>
          <w:sz w:val="20"/>
          <w:szCs w:val="20"/>
        </w:rPr>
        <w:t>.</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maximum</w:t>
      </w:r>
      <w:r>
        <w:rPr>
          <w:rFonts w:ascii="Times New Roman" w:hAnsi="Times New Roman"/>
          <w:i/>
          <w:iCs/>
          <w:sz w:val="20"/>
          <w:szCs w:val="20"/>
        </w:rPr>
        <w:t xml:space="preserve"> number of DL PRS resources M</w:t>
      </w:r>
      <w:r>
        <w:rPr>
          <w:rFonts w:ascii="Times New Roman" w:hAnsi="Times New Roman"/>
          <w:i/>
          <w:iCs/>
          <w:sz w:val="20"/>
          <w:szCs w:val="20"/>
          <w:vertAlign w:val="subscript"/>
        </w:rPr>
        <w:t>Agg</w:t>
      </w:r>
      <w:r>
        <w:rPr>
          <w:rFonts w:ascii="Times New Roman" w:hAnsi="Times New Roman"/>
          <w:i/>
          <w:iCs/>
          <w:sz w:val="20"/>
          <w:szCs w:val="20"/>
        </w:rPr>
        <w:t xml:space="preserve"> that UE can process in a slot for PFL aggregation</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single PFL measurement, more UE memory/complexity is needed, so less resources may be processed. Hence, </w:t>
      </w:r>
      <w:r>
        <w:rPr>
          <w:rFonts w:ascii="Times New Roman" w:hAnsi="Times New Roman"/>
          <w:i/>
          <w:iCs/>
          <w:sz w:val="20"/>
          <w:szCs w:val="20"/>
        </w:rPr>
        <w:t>M</w:t>
      </w:r>
      <w:r>
        <w:rPr>
          <w:rFonts w:ascii="Times New Roman" w:hAnsi="Times New Roman"/>
          <w:i/>
          <w:iCs/>
          <w:sz w:val="20"/>
          <w:szCs w:val="20"/>
          <w:vertAlign w:val="subscript"/>
        </w:rPr>
        <w:t>Agg</w:t>
      </w:r>
      <w:r>
        <w:rPr>
          <w:rFonts w:ascii="Times New Roman" w:hAnsi="Times New Roman"/>
          <w:i/>
          <w:iCs/>
          <w:sz w:val="20"/>
          <w:szCs w:val="20"/>
        </w:rPr>
        <w:t xml:space="preserve"> ≤ M, where M is maximum number PRS resources for single PFL measurement reported by FG 13-1</w:t>
      </w:r>
    </w:p>
    <w:p>
      <w:pPr>
        <w:rPr>
          <w:rFonts w:ascii="Times New Roman" w:hAnsi="Times New Roman"/>
          <w:sz w:val="28"/>
        </w:rPr>
      </w:pPr>
    </w:p>
    <w:p>
      <w:pPr>
        <w:snapToGrid w:val="0"/>
        <w:spacing w:before="120" w:after="120" w:line="240" w:lineRule="auto"/>
        <w:rPr>
          <w:rFonts w:ascii="Times New Roman" w:hAnsi="Times New Roman"/>
          <w:i/>
          <w:iCs/>
          <w:sz w:val="20"/>
          <w:szCs w:val="20"/>
        </w:rPr>
      </w:pPr>
      <w:r>
        <w:rPr>
          <w:rFonts w:ascii="Times New Roman" w:hAnsi="Times New Roman"/>
          <w:b/>
          <w:bCs/>
          <w:i/>
          <w:iCs/>
          <w:sz w:val="20"/>
          <w:szCs w:val="20"/>
          <w:lang w:val="en-GB" w:eastAsia="sv-SE"/>
        </w:rPr>
        <w:t xml:space="preserve">Proposal </w:t>
      </w:r>
      <w:r>
        <w:rPr>
          <w:rFonts w:ascii="Times New Roman" w:hAnsi="Times New Roman"/>
          <w:b/>
          <w:bCs/>
          <w:i/>
          <w:iCs/>
          <w:sz w:val="20"/>
          <w:szCs w:val="20"/>
          <w:lang w:val="en-GB" w:eastAsia="sv-SE"/>
        </w:rPr>
        <w:fldChar w:fldCharType="begin"/>
      </w:r>
      <w:r>
        <w:rPr>
          <w:rFonts w:ascii="Times New Roman" w:hAnsi="Times New Roman"/>
          <w:b/>
          <w:bCs/>
          <w:i/>
          <w:iCs/>
          <w:sz w:val="20"/>
          <w:szCs w:val="20"/>
          <w:lang w:val="en-GB" w:eastAsia="sv-SE"/>
        </w:rPr>
        <w:instrText xml:space="preserve"> SEQ Proposal \* ARABIC </w:instrText>
      </w:r>
      <w:r>
        <w:rPr>
          <w:rFonts w:ascii="Times New Roman" w:hAnsi="Times New Roman"/>
          <w:b/>
          <w:bCs/>
          <w:i/>
          <w:iCs/>
          <w:sz w:val="20"/>
          <w:szCs w:val="20"/>
          <w:lang w:val="en-GB" w:eastAsia="sv-SE"/>
        </w:rPr>
        <w:fldChar w:fldCharType="separate"/>
      </w:r>
      <w:r>
        <w:rPr>
          <w:rFonts w:ascii="Times New Roman" w:hAnsi="Times New Roman"/>
          <w:b/>
          <w:bCs/>
          <w:i/>
          <w:iCs/>
          <w:sz w:val="20"/>
          <w:szCs w:val="20"/>
          <w:lang w:val="en-GB" w:eastAsia="sv-SE"/>
        </w:rPr>
        <w:t>13</w:t>
      </w:r>
      <w:r>
        <w:rPr>
          <w:rFonts w:ascii="Times New Roman" w:hAnsi="Times New Roman"/>
          <w:b/>
          <w:bCs/>
          <w:i/>
          <w:iCs/>
          <w:sz w:val="20"/>
          <w:szCs w:val="20"/>
          <w:lang w:val="en-GB" w:eastAsia="sv-SE"/>
        </w:rPr>
        <w:fldChar w:fldCharType="end"/>
      </w:r>
      <w:r>
        <w:rPr>
          <w:rFonts w:hint="eastAsia" w:ascii="Times New Roman" w:hAnsi="Times New Roman"/>
          <w:b/>
          <w:bCs/>
          <w:i/>
          <w:iCs/>
          <w:sz w:val="20"/>
          <w:szCs w:val="20"/>
        </w:rPr>
        <w:t xml:space="preserve">: </w:t>
      </w:r>
      <w:r>
        <w:rPr>
          <w:rFonts w:hint="eastAsia" w:ascii="Times New Roman" w:hAnsi="Times New Roman"/>
          <w:i/>
          <w:iCs/>
          <w:sz w:val="20"/>
          <w:szCs w:val="20"/>
        </w:rPr>
        <w:t xml:space="preserve">Introduce a new FG 41-4-2 for </w:t>
      </w:r>
      <w:r>
        <w:rPr>
          <w:rFonts w:ascii="Times New Roman" w:hAnsi="Times New Roman"/>
          <w:i/>
          <w:iCs/>
          <w:sz w:val="20"/>
          <w:szCs w:val="20"/>
        </w:rPr>
        <w:t>DL PRS processing capability for PRS bandwidth aggregation measurement in RRC inactive state</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Report the maximum number of aggregated PFLs F. </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The maximum aggregated bandwidth can be derived from F and the maximum bandwidth reported by legacy FG 13-1. </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PRS processing time {N</w:t>
      </w:r>
      <w:r>
        <w:rPr>
          <w:rFonts w:hint="eastAsia" w:ascii="Times New Roman" w:hAnsi="Times New Roman"/>
          <w:i/>
          <w:iCs/>
          <w:sz w:val="20"/>
          <w:szCs w:val="20"/>
          <w:vertAlign w:val="subscript"/>
        </w:rPr>
        <w:t>Agg</w:t>
      </w:r>
      <w:r>
        <w:rPr>
          <w:rFonts w:hint="eastAsia" w:ascii="Times New Roman" w:hAnsi="Times New Roman"/>
          <w:i/>
          <w:iCs/>
          <w:sz w:val="20"/>
          <w:szCs w:val="20"/>
        </w:rPr>
        <w:t>, T</w:t>
      </w:r>
      <w:r>
        <w:rPr>
          <w:rFonts w:hint="eastAsia" w:ascii="Times New Roman" w:hAnsi="Times New Roman"/>
          <w:i/>
          <w:iCs/>
          <w:sz w:val="20"/>
          <w:szCs w:val="20"/>
          <w:vertAlign w:val="subscript"/>
        </w:rPr>
        <w:t>Agg</w:t>
      </w:r>
      <w:r>
        <w:rPr>
          <w:rFonts w:hint="eastAsia" w:ascii="Times New Roman" w:hAnsi="Times New Roman"/>
          <w:i/>
          <w:iCs/>
          <w:sz w:val="20"/>
          <w:szCs w:val="20"/>
        </w:rPr>
        <w:t xml:space="preserve">} for aggregation. </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{N, T} for single PFL, more UE processing time is needed for aggregation measurement. Hence, </w:t>
      </w:r>
      <w:r>
        <w:rPr>
          <w:rFonts w:ascii="Times New Roman" w:hAnsi="Times New Roman"/>
          <w:i/>
          <w:iCs/>
          <w:sz w:val="20"/>
          <w:szCs w:val="20"/>
        </w:rPr>
        <w:t>N</w:t>
      </w:r>
      <w:r>
        <w:rPr>
          <w:rFonts w:ascii="Times New Roman" w:hAnsi="Times New Roman"/>
          <w:i/>
          <w:iCs/>
          <w:sz w:val="20"/>
          <w:szCs w:val="20"/>
          <w:vertAlign w:val="subscript"/>
        </w:rPr>
        <w:t>Agg</w:t>
      </w:r>
      <w:r>
        <w:rPr>
          <w:rFonts w:ascii="Times New Roman" w:hAnsi="Times New Roman"/>
          <w:i/>
          <w:iCs/>
          <w:sz w:val="20"/>
          <w:szCs w:val="20"/>
        </w:rPr>
        <w:t xml:space="preserve"> ≤ N or T</w:t>
      </w:r>
      <w:r>
        <w:rPr>
          <w:rFonts w:ascii="Times New Roman" w:hAnsi="Times New Roman"/>
          <w:i/>
          <w:iCs/>
          <w:sz w:val="20"/>
          <w:szCs w:val="20"/>
          <w:vertAlign w:val="subscript"/>
        </w:rPr>
        <w:t>Agg</w:t>
      </w:r>
      <w:r>
        <w:rPr>
          <w:rFonts w:ascii="Times New Roman" w:hAnsi="Times New Roman"/>
          <w:i/>
          <w:iCs/>
          <w:sz w:val="20"/>
          <w:szCs w:val="20"/>
        </w:rPr>
        <w:t>≥ T</w:t>
      </w:r>
      <w:r>
        <w:rPr>
          <w:rFonts w:hint="eastAsia" w:ascii="Times New Roman" w:hAnsi="Times New Roman"/>
          <w:i/>
          <w:iCs/>
          <w:sz w:val="20"/>
          <w:szCs w:val="20"/>
        </w:rPr>
        <w:t>.</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Report the maximum</w:t>
      </w:r>
      <w:r>
        <w:rPr>
          <w:rFonts w:ascii="Times New Roman" w:hAnsi="Times New Roman"/>
          <w:i/>
          <w:iCs/>
          <w:sz w:val="20"/>
          <w:szCs w:val="20"/>
        </w:rPr>
        <w:t xml:space="preserve"> number of DL PRS resources M</w:t>
      </w:r>
      <w:r>
        <w:rPr>
          <w:rFonts w:ascii="Times New Roman" w:hAnsi="Times New Roman"/>
          <w:i/>
          <w:iCs/>
          <w:sz w:val="20"/>
          <w:szCs w:val="20"/>
          <w:vertAlign w:val="subscript"/>
        </w:rPr>
        <w:t>Agg</w:t>
      </w:r>
      <w:r>
        <w:rPr>
          <w:rFonts w:ascii="Times New Roman" w:hAnsi="Times New Roman"/>
          <w:i/>
          <w:iCs/>
          <w:sz w:val="20"/>
          <w:szCs w:val="20"/>
        </w:rPr>
        <w:t xml:space="preserve"> that UE can process in a slot for PFL aggregation</w:t>
      </w:r>
    </w:p>
    <w:p>
      <w:pPr>
        <w:numPr>
          <w:ilvl w:val="1"/>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Compared with single PFL measurement, more UE memory/complexity is needed, so less resources may be processed. Hence, </w:t>
      </w:r>
      <w:r>
        <w:rPr>
          <w:rFonts w:ascii="Times New Roman" w:hAnsi="Times New Roman"/>
          <w:i/>
          <w:iCs/>
          <w:sz w:val="20"/>
          <w:szCs w:val="20"/>
        </w:rPr>
        <w:t>M</w:t>
      </w:r>
      <w:r>
        <w:rPr>
          <w:rFonts w:ascii="Times New Roman" w:hAnsi="Times New Roman"/>
          <w:i/>
          <w:iCs/>
          <w:sz w:val="20"/>
          <w:szCs w:val="20"/>
          <w:vertAlign w:val="subscript"/>
        </w:rPr>
        <w:t>Agg</w:t>
      </w:r>
      <w:r>
        <w:rPr>
          <w:rFonts w:ascii="Times New Roman" w:hAnsi="Times New Roman"/>
          <w:i/>
          <w:iCs/>
          <w:sz w:val="20"/>
          <w:szCs w:val="20"/>
        </w:rPr>
        <w:t xml:space="preserve"> ≤ M, where M is maximum number PRS resources for single PFL measurement reported by FG </w:t>
      </w:r>
      <w:r>
        <w:rPr>
          <w:rFonts w:hint="eastAsia" w:ascii="Times New Roman" w:hAnsi="Times New Roman"/>
          <w:i/>
          <w:iCs/>
          <w:sz w:val="20"/>
          <w:szCs w:val="20"/>
        </w:rPr>
        <w:t>27-6</w:t>
      </w:r>
    </w:p>
    <w:p>
      <w:pPr>
        <w:rPr>
          <w:rFonts w:ascii="Times New Roman" w:hAnsi="Times New Roman"/>
          <w:i/>
          <w:iCs/>
          <w:sz w:val="20"/>
          <w:szCs w:val="20"/>
        </w:rPr>
      </w:pPr>
    </w:p>
    <w:p>
      <w:pPr>
        <w:snapToGrid w:val="0"/>
        <w:spacing w:before="120" w:after="120" w:line="240" w:lineRule="auto"/>
        <w:rPr>
          <w:rFonts w:ascii="Times New Roman" w:hAnsi="Times New Roman"/>
          <w:i/>
          <w:iCs/>
          <w:sz w:val="20"/>
          <w:szCs w:val="20"/>
        </w:rPr>
      </w:pPr>
      <w:r>
        <w:rPr>
          <w:rFonts w:ascii="Times New Roman" w:hAnsi="Times New Roman"/>
          <w:b/>
          <w:bCs/>
          <w:i/>
          <w:iCs/>
          <w:sz w:val="20"/>
          <w:szCs w:val="20"/>
          <w:lang w:val="en-GB" w:eastAsia="sv-SE"/>
        </w:rPr>
        <w:t xml:space="preserve">Proposal </w:t>
      </w:r>
      <w:r>
        <w:rPr>
          <w:rFonts w:ascii="Times New Roman" w:hAnsi="Times New Roman"/>
          <w:b/>
          <w:bCs/>
          <w:i/>
          <w:iCs/>
          <w:sz w:val="20"/>
          <w:szCs w:val="20"/>
          <w:lang w:val="en-GB" w:eastAsia="sv-SE"/>
        </w:rPr>
        <w:fldChar w:fldCharType="begin"/>
      </w:r>
      <w:r>
        <w:rPr>
          <w:rFonts w:ascii="Times New Roman" w:hAnsi="Times New Roman"/>
          <w:b/>
          <w:bCs/>
          <w:i/>
          <w:iCs/>
          <w:sz w:val="20"/>
          <w:szCs w:val="20"/>
          <w:lang w:val="en-GB" w:eastAsia="sv-SE"/>
        </w:rPr>
        <w:instrText xml:space="preserve"> SEQ Proposal \* ARABIC </w:instrText>
      </w:r>
      <w:r>
        <w:rPr>
          <w:rFonts w:ascii="Times New Roman" w:hAnsi="Times New Roman"/>
          <w:b/>
          <w:bCs/>
          <w:i/>
          <w:iCs/>
          <w:sz w:val="20"/>
          <w:szCs w:val="20"/>
          <w:lang w:val="en-GB" w:eastAsia="sv-SE"/>
        </w:rPr>
        <w:fldChar w:fldCharType="separate"/>
      </w:r>
      <w:r>
        <w:rPr>
          <w:rFonts w:ascii="Times New Roman" w:hAnsi="Times New Roman"/>
          <w:b/>
          <w:bCs/>
          <w:i/>
          <w:iCs/>
          <w:sz w:val="20"/>
          <w:szCs w:val="20"/>
          <w:lang w:val="en-GB" w:eastAsia="sv-SE"/>
        </w:rPr>
        <w:t>14</w:t>
      </w:r>
      <w:r>
        <w:rPr>
          <w:rFonts w:ascii="Times New Roman" w:hAnsi="Times New Roman"/>
          <w:b/>
          <w:bCs/>
          <w:i/>
          <w:iCs/>
          <w:sz w:val="20"/>
          <w:szCs w:val="20"/>
          <w:lang w:val="en-GB" w:eastAsia="sv-SE"/>
        </w:rPr>
        <w:fldChar w:fldCharType="end"/>
      </w:r>
      <w:r>
        <w:rPr>
          <w:rFonts w:hint="eastAsia" w:ascii="Times New Roman" w:hAnsi="Times New Roman"/>
          <w:b/>
          <w:bCs/>
          <w:i/>
          <w:iCs/>
          <w:sz w:val="20"/>
          <w:szCs w:val="20"/>
        </w:rPr>
        <w:t xml:space="preserve">: </w:t>
      </w:r>
      <w:r>
        <w:rPr>
          <w:rFonts w:hint="eastAsia" w:ascii="Times New Roman" w:hAnsi="Times New Roman"/>
          <w:i/>
          <w:iCs/>
          <w:sz w:val="20"/>
          <w:szCs w:val="20"/>
        </w:rPr>
        <w:t xml:space="preserve">Introduce a new FG 41-4-3 </w:t>
      </w:r>
      <w:r>
        <w:rPr>
          <w:rFonts w:ascii="Times New Roman" w:hAnsi="Times New Roman"/>
          <w:i/>
          <w:iCs/>
          <w:sz w:val="20"/>
          <w:szCs w:val="20"/>
        </w:rPr>
        <w:t>for SRS bandwidth aggregation in RRC_CONNECTED state</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Report the maximum number of aggregated carriers. </w:t>
      </w:r>
    </w:p>
    <w:p>
      <w:pPr>
        <w:snapToGrid w:val="0"/>
        <w:spacing w:before="120" w:after="120" w:line="240" w:lineRule="auto"/>
        <w:rPr>
          <w:rFonts w:ascii="Times New Roman" w:hAnsi="Times New Roman"/>
          <w:i/>
          <w:iCs/>
          <w:sz w:val="20"/>
          <w:szCs w:val="20"/>
        </w:rPr>
      </w:pPr>
    </w:p>
    <w:p>
      <w:pPr>
        <w:snapToGrid w:val="0"/>
        <w:spacing w:before="120" w:after="120" w:line="240" w:lineRule="auto"/>
        <w:rPr>
          <w:rFonts w:ascii="Times New Roman" w:hAnsi="Times New Roman"/>
          <w:b/>
          <w:bCs/>
          <w:i/>
          <w:iCs/>
          <w:sz w:val="20"/>
          <w:szCs w:val="20"/>
        </w:rPr>
      </w:pPr>
      <w:r>
        <w:rPr>
          <w:rFonts w:ascii="Times New Roman" w:hAnsi="Times New Roman"/>
          <w:b/>
          <w:bCs/>
          <w:i/>
          <w:iCs/>
          <w:sz w:val="20"/>
          <w:szCs w:val="20"/>
          <w:lang w:val="en-GB" w:eastAsia="sv-SE"/>
        </w:rPr>
        <w:t xml:space="preserve">Proposal </w:t>
      </w:r>
      <w:r>
        <w:rPr>
          <w:rFonts w:ascii="Times New Roman" w:hAnsi="Times New Roman"/>
          <w:b/>
          <w:bCs/>
          <w:i/>
          <w:iCs/>
          <w:sz w:val="20"/>
          <w:szCs w:val="20"/>
          <w:lang w:val="en-GB" w:eastAsia="sv-SE"/>
        </w:rPr>
        <w:fldChar w:fldCharType="begin"/>
      </w:r>
      <w:r>
        <w:rPr>
          <w:rFonts w:ascii="Times New Roman" w:hAnsi="Times New Roman"/>
          <w:b/>
          <w:bCs/>
          <w:i/>
          <w:iCs/>
          <w:sz w:val="20"/>
          <w:szCs w:val="20"/>
          <w:lang w:val="en-GB" w:eastAsia="sv-SE"/>
        </w:rPr>
        <w:instrText xml:space="preserve"> SEQ Proposal \* ARABIC </w:instrText>
      </w:r>
      <w:r>
        <w:rPr>
          <w:rFonts w:ascii="Times New Roman" w:hAnsi="Times New Roman"/>
          <w:b/>
          <w:bCs/>
          <w:i/>
          <w:iCs/>
          <w:sz w:val="20"/>
          <w:szCs w:val="20"/>
          <w:lang w:val="en-GB" w:eastAsia="sv-SE"/>
        </w:rPr>
        <w:fldChar w:fldCharType="separate"/>
      </w:r>
      <w:r>
        <w:rPr>
          <w:rFonts w:ascii="Times New Roman" w:hAnsi="Times New Roman"/>
          <w:b/>
          <w:bCs/>
          <w:i/>
          <w:iCs/>
          <w:sz w:val="20"/>
          <w:szCs w:val="20"/>
          <w:lang w:val="en-GB" w:eastAsia="sv-SE"/>
        </w:rPr>
        <w:t>15</w:t>
      </w:r>
      <w:r>
        <w:rPr>
          <w:rFonts w:ascii="Times New Roman" w:hAnsi="Times New Roman"/>
          <w:b/>
          <w:bCs/>
          <w:i/>
          <w:iCs/>
          <w:sz w:val="20"/>
          <w:szCs w:val="20"/>
          <w:lang w:val="en-GB" w:eastAsia="sv-SE"/>
        </w:rPr>
        <w:fldChar w:fldCharType="end"/>
      </w:r>
      <w:r>
        <w:rPr>
          <w:rFonts w:hint="eastAsia" w:ascii="Times New Roman" w:hAnsi="Times New Roman"/>
          <w:b/>
          <w:bCs/>
          <w:i/>
          <w:iCs/>
          <w:sz w:val="20"/>
          <w:szCs w:val="20"/>
        </w:rPr>
        <w:t xml:space="preserve">: </w:t>
      </w:r>
      <w:r>
        <w:rPr>
          <w:rFonts w:hint="eastAsia" w:ascii="Times New Roman" w:hAnsi="Times New Roman"/>
          <w:i/>
          <w:iCs/>
          <w:sz w:val="20"/>
          <w:szCs w:val="20"/>
        </w:rPr>
        <w:t xml:space="preserve">Introduce a new FG 41-4-3 </w:t>
      </w:r>
      <w:r>
        <w:rPr>
          <w:rFonts w:ascii="Times New Roman" w:hAnsi="Times New Roman"/>
          <w:i/>
          <w:iCs/>
          <w:sz w:val="20"/>
          <w:szCs w:val="20"/>
        </w:rPr>
        <w:t>for SRS bandwidth aggregation in RRC_</w:t>
      </w:r>
      <w:r>
        <w:rPr>
          <w:rFonts w:hint="eastAsia" w:ascii="Times New Roman" w:hAnsi="Times New Roman"/>
          <w:i/>
          <w:iCs/>
          <w:sz w:val="20"/>
          <w:szCs w:val="20"/>
        </w:rPr>
        <w:t>INACTIVE</w:t>
      </w:r>
      <w:r>
        <w:rPr>
          <w:rFonts w:ascii="Times New Roman" w:hAnsi="Times New Roman"/>
          <w:i/>
          <w:iCs/>
          <w:sz w:val="20"/>
          <w:szCs w:val="20"/>
        </w:rPr>
        <w:t xml:space="preserve"> state</w:t>
      </w:r>
    </w:p>
    <w:p>
      <w:pPr>
        <w:numPr>
          <w:ilvl w:val="0"/>
          <w:numId w:val="13"/>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Report the maximum number of aggregated carriers. </w:t>
      </w:r>
    </w:p>
    <w:p>
      <w:pPr>
        <w:numPr>
          <w:ilvl w:val="0"/>
          <w:numId w:val="13"/>
        </w:numPr>
        <w:snapToGrid w:val="0"/>
        <w:spacing w:before="120" w:after="120" w:line="240" w:lineRule="auto"/>
        <w:rPr>
          <w:rFonts w:ascii="Times New Roman" w:hAnsi="Times New Roman"/>
          <w:i/>
          <w:iCs/>
          <w:sz w:val="18"/>
          <w:szCs w:val="18"/>
        </w:rPr>
      </w:pPr>
      <w:r>
        <w:rPr>
          <w:rFonts w:hint="eastAsia" w:ascii="Times New Roman" w:hAnsi="Times New Roman"/>
          <w:i/>
          <w:iCs/>
          <w:sz w:val="20"/>
          <w:szCs w:val="20"/>
        </w:rPr>
        <w:t>The prerequisite is FG 27-15b since SRS transmission will be outside initial BWP for aggregation</w:t>
      </w:r>
    </w:p>
    <w:p>
      <w:pPr>
        <w:snapToGrid w:val="0"/>
        <w:spacing w:before="120" w:after="120" w:line="240" w:lineRule="auto"/>
        <w:rPr>
          <w:rFonts w:ascii="Times New Roman" w:hAnsi="Times New Roman"/>
          <w:i/>
          <w:iCs/>
          <w:sz w:val="18"/>
          <w:szCs w:val="18"/>
        </w:rPr>
      </w:pPr>
    </w:p>
    <w:tbl>
      <w:tblPr>
        <w:tblStyle w:val="27"/>
        <w:tblW w:w="22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695"/>
        <w:gridCol w:w="4462"/>
        <w:gridCol w:w="1320"/>
        <w:gridCol w:w="1283"/>
        <w:gridCol w:w="1131"/>
        <w:gridCol w:w="1636"/>
        <w:gridCol w:w="2048"/>
        <w:gridCol w:w="1497"/>
        <w:gridCol w:w="1462"/>
        <w:gridCol w:w="1111"/>
        <w:gridCol w:w="223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Index</w:t>
            </w:r>
          </w:p>
        </w:tc>
        <w:tc>
          <w:tcPr>
            <w:tcW w:w="16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Feature group</w:t>
            </w:r>
          </w:p>
        </w:tc>
        <w:tc>
          <w:tcPr>
            <w:tcW w:w="4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Components</w:t>
            </w:r>
          </w:p>
        </w:tc>
        <w:tc>
          <w:tcPr>
            <w:tcW w:w="13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Prerequisite feature groups</w:t>
            </w:r>
          </w:p>
        </w:tc>
        <w:tc>
          <w:tcPr>
            <w:tcW w:w="12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for the gNB to know if the feature is supported</w:t>
            </w:r>
          </w:p>
        </w:tc>
        <w:tc>
          <w:tcPr>
            <w:tcW w:w="11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Gulim" w:cs="Arial"/>
                <w:b/>
                <w:color w:val="000000"/>
                <w:sz w:val="18"/>
                <w:szCs w:val="18"/>
                <w:lang w:val="en-GB" w:eastAsia="ja-JP"/>
              </w:rPr>
              <w:t xml:space="preserve">Applicable to </w:t>
            </w:r>
            <w:r>
              <w:rPr>
                <w:rFonts w:ascii="Arial" w:hAnsi="Arial" w:eastAsia="Times New Roman" w:cs="Arial"/>
                <w:b/>
                <w:color w:val="000000"/>
                <w:sz w:val="18"/>
                <w:szCs w:val="18"/>
                <w:lang w:val="en-GB" w:eastAsia="ja-JP"/>
              </w:rPr>
              <w:t>the capability signalling exchange between UEs (Sidelink WI only)”.</w:t>
            </w:r>
          </w:p>
        </w:tc>
        <w:tc>
          <w:tcPr>
            <w:tcW w:w="1636"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Consequence if the feature is not supported by the UE</w:t>
            </w:r>
          </w:p>
        </w:tc>
        <w:tc>
          <w:tcPr>
            <w:tcW w:w="2048"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Type</w:t>
            </w:r>
          </w:p>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(the ‘type’ definition from UE features should be based on the granularity of 1) Per UE or 2) Per Band or 3) Per BC or 4) Per FS or 5) Per FSPC)</w:t>
            </w:r>
          </w:p>
        </w:tc>
        <w:tc>
          <w:tcPr>
            <w:tcW w:w="1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FDD/TDD differentiation</w:t>
            </w:r>
          </w:p>
        </w:tc>
        <w:tc>
          <w:tcPr>
            <w:tcW w:w="1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FR1/FR2 differentiation</w:t>
            </w:r>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Capability interpretation for mixture of FDD/TDD and/or FR1/FR2</w:t>
            </w:r>
          </w:p>
        </w:tc>
        <w:tc>
          <w:tcPr>
            <w:tcW w:w="22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Note</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41-4-1</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szCs w:val="18"/>
              </w:rPr>
            </w:pPr>
            <w:r>
              <w:rPr>
                <w:rFonts w:ascii="Times New Roman" w:hAnsi="Times New Roman"/>
                <w:szCs w:val="18"/>
              </w:rPr>
              <w:t xml:space="preserve">DL PRS processing capability for PRS bandwidth aggregation measurement </w:t>
            </w:r>
            <w:r>
              <w:rPr>
                <w:rFonts w:ascii="Times New Roman" w:hAnsi="Times New Roman"/>
                <w:color w:val="C00000"/>
                <w:szCs w:val="18"/>
              </w:rPr>
              <w:t>in MG</w:t>
            </w:r>
          </w:p>
        </w:tc>
        <w:tc>
          <w:tcPr>
            <w:tcW w:w="4462" w:type="dxa"/>
            <w:tcBorders>
              <w:top w:val="single" w:color="auto" w:sz="4" w:space="0"/>
              <w:left w:val="single" w:color="auto" w:sz="4" w:space="0"/>
              <w:bottom w:val="single" w:color="auto" w:sz="4" w:space="0"/>
              <w:right w:val="single" w:color="auto" w:sz="4" w:space="0"/>
            </w:tcBorders>
          </w:tcPr>
          <w:p>
            <w:pPr>
              <w:pStyle w:val="62"/>
              <w:numPr>
                <w:ilvl w:val="0"/>
                <w:numId w:val="25"/>
              </w:numPr>
              <w:snapToGrid w:val="0"/>
              <w:spacing w:line="240" w:lineRule="auto"/>
              <w:rPr>
                <w:rFonts w:ascii="Times New Roman" w:hAnsi="Times New Roman"/>
                <w:szCs w:val="18"/>
              </w:rPr>
            </w:pPr>
            <w:r>
              <w:rPr>
                <w:rFonts w:ascii="Times New Roman" w:hAnsi="Times New Roman"/>
                <w:szCs w:val="18"/>
              </w:rPr>
              <w:t>Maximum number F of PFLs for aggregation, which is supported and reported by UE.</w:t>
            </w:r>
          </w:p>
          <w:p>
            <w:pPr>
              <w:pStyle w:val="62"/>
              <w:snapToGrid w:val="0"/>
              <w:spacing w:line="240" w:lineRule="auto"/>
              <w:ind w:left="599" w:hanging="316"/>
              <w:rPr>
                <w:rFonts w:ascii="Times New Roman" w:hAnsi="Times New Roman"/>
                <w:szCs w:val="18"/>
              </w:rPr>
            </w:pPr>
            <w:r>
              <w:rPr>
                <w:rFonts w:ascii="Times New Roman" w:hAnsi="Times New Roman"/>
                <w:szCs w:val="18"/>
              </w:rPr>
              <w:t xml:space="preserve">F: {2, 3}, where </w:t>
            </w:r>
            <w:r>
              <w:rPr>
                <w:rFonts w:ascii="Times New Roman" w:hAnsi="Times New Roman"/>
                <w:color w:val="000000" w:themeColor="text1"/>
                <w:szCs w:val="18"/>
                <w14:textFill>
                  <w14:solidFill>
                    <w14:schemeClr w14:val="tx1"/>
                  </w14:solidFill>
                </w14:textFill>
              </w:rPr>
              <w:t xml:space="preserve">F &lt; the value reported by FG13-1a </w:t>
            </w:r>
          </w:p>
          <w:p>
            <w:pPr>
              <w:pStyle w:val="62"/>
              <w:snapToGrid w:val="0"/>
              <w:spacing w:line="240" w:lineRule="auto"/>
              <w:rPr>
                <w:rFonts w:ascii="Times New Roman" w:hAnsi="Times New Roman"/>
                <w:szCs w:val="18"/>
              </w:rPr>
            </w:pPr>
            <w:r>
              <w:rPr>
                <w:rFonts w:ascii="Times New Roman" w:hAnsi="Times New Roman"/>
                <w:szCs w:val="18"/>
              </w:rPr>
              <w:t xml:space="preserve">   </w:t>
            </w:r>
          </w:p>
          <w:p>
            <w:pPr>
              <w:pStyle w:val="62"/>
              <w:snapToGrid w:val="0"/>
              <w:spacing w:line="240" w:lineRule="auto"/>
              <w:ind w:left="180" w:hanging="180" w:hangingChars="100"/>
              <w:rPr>
                <w:rFonts w:ascii="Times New Roman" w:hAnsi="Times New Roman"/>
                <w:szCs w:val="18"/>
              </w:rPr>
            </w:pPr>
            <w:r>
              <w:rPr>
                <w:rFonts w:ascii="Times New Roman" w:hAnsi="Times New Roman"/>
                <w:szCs w:val="18"/>
              </w:rPr>
              <w:t xml:space="preserve">  </w:t>
            </w:r>
            <w:r>
              <w:rPr>
                <w:rFonts w:ascii="Times New Roman" w:hAnsi="Times New Roman"/>
                <w:b/>
                <w:bCs/>
                <w:szCs w:val="18"/>
              </w:rPr>
              <w:t>Note1:</w:t>
            </w:r>
            <w:r>
              <w:rPr>
                <w:rFonts w:ascii="Times New Roman" w:hAnsi="Times New Roman"/>
                <w:szCs w:val="18"/>
              </w:rPr>
              <w:t xml:space="preserve"> the maximum bandwidth for aggregation is </w:t>
            </w:r>
            <w:r>
              <w:rPr>
                <w:rFonts w:ascii="Times New Roman" w:hAnsi="Times New Roman"/>
                <w:color w:val="000000" w:themeColor="text1"/>
                <w:szCs w:val="18"/>
                <w14:textFill>
                  <w14:solidFill>
                    <w14:schemeClr w14:val="tx1"/>
                  </w14:solidFill>
                </w14:textFill>
              </w:rPr>
              <w:t>F×B where B is the bandwidth for single PFL reported by FG 13-1;</w:t>
            </w:r>
            <w:r>
              <w:rPr>
                <w:rFonts w:ascii="Times New Roman" w:hAnsi="Times New Roman"/>
                <w:szCs w:val="18"/>
              </w:rPr>
              <w:t xml:space="preserve">    </w:t>
            </w:r>
          </w:p>
          <w:p>
            <w:pPr>
              <w:pStyle w:val="62"/>
              <w:snapToGrid w:val="0"/>
              <w:spacing w:line="240" w:lineRule="auto"/>
              <w:rPr>
                <w:rFonts w:ascii="Times New Roman" w:hAnsi="Times New Roman"/>
                <w:szCs w:val="18"/>
              </w:rPr>
            </w:pPr>
          </w:p>
          <w:p>
            <w:pPr>
              <w:pStyle w:val="62"/>
              <w:numPr>
                <w:ilvl w:val="0"/>
                <w:numId w:val="25"/>
              </w:numPr>
              <w:snapToGrid w:val="0"/>
              <w:spacing w:line="240" w:lineRule="auto"/>
              <w:rPr>
                <w:rFonts w:ascii="Times New Roman" w:hAnsi="Times New Roman"/>
                <w:szCs w:val="18"/>
              </w:rPr>
            </w:pPr>
            <w:r>
              <w:rPr>
                <w:rFonts w:ascii="Times New Roman" w:hAnsi="Times New Roman"/>
                <w:szCs w:val="18"/>
              </w:rPr>
              <w:t>Duration of DL PRS symbols N</w:t>
            </w:r>
            <w:r>
              <w:rPr>
                <w:rFonts w:ascii="Times New Roman" w:hAnsi="Times New Roman"/>
                <w:szCs w:val="18"/>
                <w:vertAlign w:val="subscript"/>
              </w:rPr>
              <w:t>Agg</w:t>
            </w:r>
            <w:r>
              <w:rPr>
                <w:rFonts w:ascii="Times New Roman" w:hAnsi="Times New Roman"/>
                <w:szCs w:val="18"/>
              </w:rPr>
              <w:t xml:space="preserve"> in units of ms a UE can process every T</w:t>
            </w:r>
            <w:r>
              <w:rPr>
                <w:rFonts w:ascii="Times New Roman" w:hAnsi="Times New Roman"/>
                <w:szCs w:val="18"/>
                <w:vertAlign w:val="subscript"/>
              </w:rPr>
              <w:t>Agg</w:t>
            </w:r>
            <w:r>
              <w:rPr>
                <w:rFonts w:ascii="Times New Roman" w:hAnsi="Times New Roman"/>
                <w:szCs w:val="18"/>
              </w:rPr>
              <w:t xml:space="preserve"> ms assuming maximum DL PRS bandwidth after F PFLs aggregation in MHz, which is supported and reported by UE.</w:t>
            </w:r>
          </w:p>
          <w:p>
            <w:pPr>
              <w:pStyle w:val="62"/>
              <w:numPr>
                <w:ilvl w:val="0"/>
                <w:numId w:val="23"/>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T</w:t>
            </w:r>
            <w:r>
              <w:rPr>
                <w:rFonts w:ascii="Times New Roman" w:hAnsi="Times New Roman"/>
                <w:color w:val="000000" w:themeColor="text1"/>
                <w:szCs w:val="18"/>
                <w:vertAlign w:val="subscript"/>
                <w14:textFill>
                  <w14:solidFill>
                    <w14:schemeClr w14:val="tx1"/>
                  </w14:solidFill>
                </w14:textFill>
              </w:rPr>
              <w:t xml:space="preserve">Agg </w:t>
            </w:r>
            <w:r>
              <w:rPr>
                <w:rFonts w:ascii="Times New Roman" w:hAnsi="Times New Roman"/>
                <w:szCs w:val="18"/>
              </w:rPr>
              <w:t xml:space="preserve">: </w:t>
            </w:r>
            <w:r>
              <w:rPr>
                <w:rFonts w:ascii="Times New Roman" w:hAnsi="Times New Roman"/>
                <w:color w:val="000000" w:themeColor="text1"/>
                <w:szCs w:val="18"/>
                <w14:textFill>
                  <w14:solidFill>
                    <w14:schemeClr w14:val="tx1"/>
                  </w14:solidFill>
                </w14:textFill>
              </w:rPr>
              <w:t>{1, 2, 4, 8, 16, 20, 30, 40, 80, 160, 320, 640, 1280} ms</w:t>
            </w:r>
          </w:p>
          <w:p>
            <w:pPr>
              <w:pStyle w:val="62"/>
              <w:numPr>
                <w:ilvl w:val="0"/>
                <w:numId w:val="23"/>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w:t>
            </w:r>
            <w:r>
              <w:rPr>
                <w:rFonts w:ascii="Times New Roman" w:hAnsi="Times New Roman"/>
                <w:color w:val="000000" w:themeColor="text1"/>
                <w:szCs w:val="18"/>
                <w:vertAlign w:val="subscript"/>
                <w14:textFill>
                  <w14:solidFill>
                    <w14:schemeClr w14:val="tx1"/>
                  </w14:solidFill>
                </w14:textFill>
              </w:rPr>
              <w:t>Agg</w:t>
            </w:r>
            <w:r>
              <w:rPr>
                <w:rFonts w:ascii="Times New Roman" w:hAnsi="Times New Roman"/>
                <w:color w:val="000000" w:themeColor="text1"/>
                <w:szCs w:val="18"/>
                <w14:textFill>
                  <w14:solidFill>
                    <w14:schemeClr w14:val="tx1"/>
                  </w14:solidFill>
                </w14:textFill>
              </w:rPr>
              <w:t xml:space="preserve"> : {0.125, 0.25, 0.5, 1, 2, 4, 6, 8, 12, 16, 20, 25, 30, 32, 35, 40, 45, 50} ms</w:t>
            </w:r>
          </w:p>
          <w:p>
            <w:pPr>
              <w:pStyle w:val="62"/>
              <w:snapToGrid w:val="0"/>
              <w:spacing w:line="240" w:lineRule="auto"/>
              <w:ind w:left="220" w:leftChars="100"/>
              <w:rPr>
                <w:rFonts w:ascii="Times New Roman" w:hAnsi="Times New Roman"/>
                <w:b/>
                <w:bCs/>
                <w:szCs w:val="18"/>
              </w:rPr>
            </w:pPr>
          </w:p>
          <w:p>
            <w:pPr>
              <w:pStyle w:val="62"/>
              <w:snapToGrid w:val="0"/>
              <w:spacing w:line="240" w:lineRule="auto"/>
              <w:ind w:left="220" w:leftChars="100"/>
              <w:rPr>
                <w:rFonts w:ascii="Times New Roman" w:hAnsi="Times New Roman"/>
                <w:color w:val="000000" w:themeColor="text1"/>
                <w:szCs w:val="18"/>
                <w14:textFill>
                  <w14:solidFill>
                    <w14:schemeClr w14:val="tx1"/>
                  </w14:solidFill>
                </w14:textFill>
              </w:rPr>
            </w:pPr>
            <w:r>
              <w:rPr>
                <w:rFonts w:ascii="Times New Roman" w:hAnsi="Times New Roman"/>
                <w:b/>
                <w:bCs/>
                <w:szCs w:val="18"/>
              </w:rPr>
              <w:t>Note2:</w:t>
            </w:r>
            <w:r>
              <w:rPr>
                <w:rFonts w:ascii="Times New Roman" w:hAnsi="Times New Roman"/>
                <w:szCs w:val="18"/>
              </w:rPr>
              <w:t xml:space="preserve"> </w:t>
            </w:r>
            <w:r>
              <w:rPr>
                <w:rFonts w:ascii="Times New Roman" w:hAnsi="Times New Roman"/>
                <w:color w:val="000000" w:themeColor="text1"/>
                <w:szCs w:val="18"/>
                <w14:textFill>
                  <w14:solidFill>
                    <w14:schemeClr w14:val="tx1"/>
                  </w14:solidFill>
                </w14:textFill>
              </w:rPr>
              <w:t>N</w:t>
            </w:r>
            <w:r>
              <w:rPr>
                <w:rFonts w:ascii="Times New Roman" w:hAnsi="Times New Roman"/>
                <w:color w:val="000000" w:themeColor="text1"/>
                <w:szCs w:val="18"/>
                <w:vertAlign w:val="subscript"/>
                <w14:textFill>
                  <w14:solidFill>
                    <w14:schemeClr w14:val="tx1"/>
                  </w14:solidFill>
                </w14:textFill>
              </w:rPr>
              <w:t>Agg</w:t>
            </w:r>
            <w:r>
              <w:rPr>
                <w:rFonts w:ascii="Times New Roman" w:hAnsi="Times New Roman"/>
                <w:szCs w:val="18"/>
              </w:rPr>
              <w:t xml:space="preserve"> ≤ N or T</w:t>
            </w:r>
            <w:r>
              <w:rPr>
                <w:rFonts w:ascii="Times New Roman" w:hAnsi="Times New Roman"/>
                <w:szCs w:val="18"/>
                <w:vertAlign w:val="subscript"/>
              </w:rPr>
              <w:t>Agg</w:t>
            </w:r>
            <w:r>
              <w:rPr>
                <w:rFonts w:ascii="Times New Roman" w:hAnsi="Times New Roman"/>
                <w:szCs w:val="18"/>
              </w:rPr>
              <w:t>≥ T, where {N, T} is reported by FG 13-1</w:t>
            </w:r>
          </w:p>
          <w:p>
            <w:pPr>
              <w:pStyle w:val="62"/>
              <w:snapToGrid w:val="0"/>
              <w:spacing w:line="240" w:lineRule="auto"/>
              <w:rPr>
                <w:rFonts w:ascii="Times New Roman" w:hAnsi="Times New Roman"/>
                <w:szCs w:val="18"/>
              </w:rPr>
            </w:pPr>
          </w:p>
          <w:p>
            <w:pPr>
              <w:pStyle w:val="62"/>
              <w:numPr>
                <w:ilvl w:val="0"/>
                <w:numId w:val="25"/>
              </w:numPr>
              <w:snapToGrid w:val="0"/>
              <w:spacing w:line="240" w:lineRule="auto"/>
              <w:rPr>
                <w:rFonts w:ascii="Times New Roman" w:hAnsi="Times New Roman"/>
                <w:szCs w:val="18"/>
              </w:rPr>
            </w:pPr>
            <w:r>
              <w:rPr>
                <w:rFonts w:ascii="Times New Roman" w:hAnsi="Times New Roman"/>
                <w:szCs w:val="18"/>
              </w:rPr>
              <w:t xml:space="preserve">Max number of DL PRS resources </w:t>
            </w:r>
            <w:r>
              <w:rPr>
                <w:rFonts w:ascii="Times New Roman" w:hAnsi="Times New Roman"/>
                <w:b/>
                <w:bCs/>
                <w:szCs w:val="18"/>
              </w:rPr>
              <w:t>M</w:t>
            </w:r>
            <w:r>
              <w:rPr>
                <w:rFonts w:ascii="Times New Roman" w:hAnsi="Times New Roman"/>
                <w:b/>
                <w:bCs/>
                <w:szCs w:val="18"/>
                <w:vertAlign w:val="subscript"/>
              </w:rPr>
              <w:t>Agg</w:t>
            </w:r>
            <w:r>
              <w:rPr>
                <w:rFonts w:ascii="Times New Roman" w:hAnsi="Times New Roman"/>
                <w:szCs w:val="18"/>
              </w:rPr>
              <w:t xml:space="preserve"> that UE can process in a slot under it for PFL aggregation measurement</w:t>
            </w:r>
          </w:p>
          <w:p>
            <w:pPr>
              <w:pStyle w:val="62"/>
              <w:snapToGrid w:val="0"/>
              <w:spacing w:line="240" w:lineRule="auto"/>
              <w:ind w:left="599" w:hanging="283"/>
              <w:rPr>
                <w:rFonts w:ascii="Times New Roman" w:hAnsi="Times New Roman"/>
                <w:szCs w:val="18"/>
              </w:rPr>
            </w:pPr>
            <w:r>
              <w:rPr>
                <w:rFonts w:ascii="Times New Roman" w:hAnsi="Times New Roman"/>
                <w:szCs w:val="18"/>
              </w:rPr>
              <w:t>a)</w:t>
            </w:r>
            <w:r>
              <w:rPr>
                <w:rFonts w:ascii="Times New Roman" w:hAnsi="Times New Roman"/>
                <w:szCs w:val="18"/>
              </w:rPr>
              <w:tab/>
            </w:r>
            <w:r>
              <w:rPr>
                <w:rFonts w:ascii="Times New Roman" w:hAnsi="Times New Roman"/>
                <w:szCs w:val="18"/>
              </w:rPr>
              <w:t>FR1 bands: {1, 2, 4, 6, 8, 12, 16, 24, 32, 48, 64} for each SCS: 15kHz, 30kHz, 60kHz</w:t>
            </w:r>
          </w:p>
          <w:p>
            <w:pPr>
              <w:pStyle w:val="62"/>
              <w:snapToGrid w:val="0"/>
              <w:spacing w:line="240" w:lineRule="auto"/>
              <w:ind w:left="599" w:hanging="283"/>
              <w:rPr>
                <w:rFonts w:ascii="Times New Roman" w:hAnsi="Times New Roman"/>
                <w:szCs w:val="18"/>
              </w:rPr>
            </w:pPr>
            <w:r>
              <w:rPr>
                <w:rFonts w:ascii="Times New Roman" w:hAnsi="Times New Roman"/>
                <w:szCs w:val="18"/>
              </w:rPr>
              <w:t>b)</w:t>
            </w:r>
            <w:r>
              <w:rPr>
                <w:rFonts w:ascii="Times New Roman" w:hAnsi="Times New Roman"/>
                <w:szCs w:val="18"/>
              </w:rPr>
              <w:tab/>
            </w:r>
            <w:r>
              <w:rPr>
                <w:rFonts w:ascii="Times New Roman" w:hAnsi="Times New Roman"/>
                <w:szCs w:val="18"/>
              </w:rPr>
              <w:t>FR2 bands: {1, 2, 4, 6, 8, 12, 16, 24, 32, 48, 64} for each SCS: 60kHz, 120kHz</w:t>
            </w:r>
          </w:p>
          <w:p>
            <w:pPr>
              <w:pStyle w:val="62"/>
              <w:snapToGrid w:val="0"/>
              <w:spacing w:line="240" w:lineRule="auto"/>
              <w:rPr>
                <w:rFonts w:ascii="Times New Roman" w:hAnsi="Times New Roman"/>
                <w:szCs w:val="18"/>
              </w:rPr>
            </w:pPr>
            <w:r>
              <w:rPr>
                <w:rFonts w:ascii="Times New Roman" w:hAnsi="Times New Roman"/>
                <w:szCs w:val="18"/>
              </w:rPr>
              <w:t xml:space="preserve">   </w:t>
            </w:r>
          </w:p>
          <w:p>
            <w:pPr>
              <w:pStyle w:val="62"/>
              <w:snapToGrid w:val="0"/>
              <w:spacing w:line="240" w:lineRule="auto"/>
              <w:ind w:left="220" w:leftChars="100"/>
              <w:rPr>
                <w:rFonts w:ascii="Times New Roman" w:hAnsi="Times New Roman"/>
                <w:color w:val="000000" w:themeColor="text1"/>
                <w:szCs w:val="18"/>
                <w14:textFill>
                  <w14:solidFill>
                    <w14:schemeClr w14:val="tx1"/>
                  </w14:solidFill>
                </w14:textFill>
              </w:rPr>
            </w:pPr>
            <w:r>
              <w:rPr>
                <w:rFonts w:ascii="Times New Roman" w:hAnsi="Times New Roman"/>
                <w:b/>
                <w:bCs/>
                <w:szCs w:val="18"/>
              </w:rPr>
              <w:t>Note3:</w:t>
            </w:r>
            <w:r>
              <w:rPr>
                <w:rFonts w:ascii="Times New Roman" w:hAnsi="Times New Roman"/>
                <w:szCs w:val="18"/>
              </w:rPr>
              <w:t xml:space="preserve"> </w:t>
            </w:r>
            <w:r>
              <w:rPr>
                <w:rFonts w:ascii="Times New Roman" w:hAnsi="Times New Roman"/>
                <w:b/>
                <w:bCs/>
                <w:szCs w:val="18"/>
              </w:rPr>
              <w:t>M</w:t>
            </w:r>
            <w:r>
              <w:rPr>
                <w:rFonts w:ascii="Times New Roman" w:hAnsi="Times New Roman"/>
                <w:b/>
                <w:bCs/>
                <w:szCs w:val="18"/>
                <w:vertAlign w:val="subscript"/>
              </w:rPr>
              <w:t>Agg</w:t>
            </w:r>
            <w:r>
              <w:rPr>
                <w:rFonts w:ascii="Times New Roman" w:hAnsi="Times New Roman"/>
                <w:szCs w:val="18"/>
              </w:rPr>
              <w:t xml:space="preserve"> ≤ M, where M is maximum number PRS resources for single PFL measurement reported by FG 13-1</w:t>
            </w:r>
          </w:p>
          <w:p>
            <w:pPr>
              <w:pStyle w:val="62"/>
              <w:snapToGrid w:val="0"/>
              <w:spacing w:line="240" w:lineRule="auto"/>
              <w:rPr>
                <w:rFonts w:ascii="Times New Roman" w:hAnsi="Times New Roman"/>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trike/>
                <w:color w:val="000000" w:themeColor="text1"/>
                <w:szCs w:val="18"/>
                <w:highlight w:val="yellow"/>
                <w14:textFill>
                  <w14:solidFill>
                    <w14:schemeClr w14:val="tx1"/>
                  </w14:solidFill>
                </w14:textFill>
              </w:rPr>
            </w:pPr>
            <w:r>
              <w:rPr>
                <w:rFonts w:ascii="Times New Roman" w:hAnsi="Times New Roman"/>
                <w:color w:val="000000" w:themeColor="text1"/>
                <w:szCs w:val="18"/>
                <w14:textFill>
                  <w14:solidFill>
                    <w14:schemeClr w14:val="tx1"/>
                  </w14:solidFill>
                </w14:textFill>
              </w:rPr>
              <w:t>13-1, 13-1a, 13-3, 13-4</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DL PRS bandwidth aggregation measurement is not supported</w:t>
            </w:r>
            <w:r>
              <w:rPr>
                <w:rFonts w:ascii="Times New Roman" w:hAnsi="Times New Roman"/>
                <w:szCs w:val="18"/>
              </w:rPr>
              <w:t xml:space="preserve"> </w:t>
            </w:r>
            <w:r>
              <w:rPr>
                <w:rFonts w:ascii="Times New Roman" w:hAnsi="Times New Roman"/>
                <w:color w:val="C00000"/>
                <w:szCs w:val="18"/>
              </w:rPr>
              <w:t>in MG</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Per BC</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sz w:val="18"/>
                <w:szCs w:val="18"/>
              </w:rPr>
            </w:pPr>
            <w:r>
              <w:rPr>
                <w:rFonts w:ascii="Times New Roman" w:hAnsi="Times New Roman"/>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41-4-2</w:t>
            </w:r>
          </w:p>
        </w:tc>
        <w:tc>
          <w:tcPr>
            <w:tcW w:w="169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 xml:space="preserve">DL PRS processing capabilities for bandwidth aggregation measurement </w:t>
            </w:r>
            <w:r>
              <w:rPr>
                <w:rFonts w:ascii="Times New Roman" w:hAnsi="Times New Roman"/>
                <w:color w:val="C00000"/>
                <w:szCs w:val="18"/>
              </w:rPr>
              <w:t>in RRC inactive state</w:t>
            </w:r>
          </w:p>
        </w:tc>
        <w:tc>
          <w:tcPr>
            <w:tcW w:w="4462" w:type="dxa"/>
            <w:tcBorders>
              <w:top w:val="single" w:color="auto" w:sz="4" w:space="0"/>
              <w:left w:val="single" w:color="auto" w:sz="4" w:space="0"/>
              <w:bottom w:val="single" w:color="auto" w:sz="4" w:space="0"/>
              <w:right w:val="single" w:color="auto" w:sz="4" w:space="0"/>
            </w:tcBorders>
          </w:tcPr>
          <w:p>
            <w:pPr>
              <w:pStyle w:val="62"/>
              <w:numPr>
                <w:ilvl w:val="0"/>
                <w:numId w:val="26"/>
              </w:numPr>
              <w:snapToGrid w:val="0"/>
              <w:spacing w:line="240" w:lineRule="auto"/>
              <w:rPr>
                <w:rFonts w:ascii="Times New Roman" w:hAnsi="Times New Roman"/>
                <w:szCs w:val="18"/>
              </w:rPr>
            </w:pPr>
            <w:r>
              <w:rPr>
                <w:rFonts w:ascii="Times New Roman" w:hAnsi="Times New Roman"/>
                <w:szCs w:val="18"/>
              </w:rPr>
              <w:t>Maximum number F of PFLs for aggregation, which is supported and reported by UE.</w:t>
            </w:r>
          </w:p>
          <w:p>
            <w:pPr>
              <w:pStyle w:val="62"/>
              <w:snapToGrid w:val="0"/>
              <w:spacing w:line="240" w:lineRule="auto"/>
              <w:ind w:left="599" w:hanging="316"/>
              <w:rPr>
                <w:rFonts w:ascii="Times New Roman" w:hAnsi="Times New Roman"/>
                <w:szCs w:val="18"/>
              </w:rPr>
            </w:pPr>
            <w:r>
              <w:rPr>
                <w:rFonts w:ascii="Times New Roman" w:hAnsi="Times New Roman"/>
                <w:szCs w:val="18"/>
              </w:rPr>
              <w:t xml:space="preserve">F: {2, 3}, where </w:t>
            </w:r>
            <w:r>
              <w:rPr>
                <w:rFonts w:ascii="Times New Roman" w:hAnsi="Times New Roman"/>
                <w:color w:val="000000" w:themeColor="text1"/>
                <w:szCs w:val="18"/>
                <w14:textFill>
                  <w14:solidFill>
                    <w14:schemeClr w14:val="tx1"/>
                  </w14:solidFill>
                </w14:textFill>
              </w:rPr>
              <w:t xml:space="preserve">F &lt; the value reported by FG13-1a </w:t>
            </w:r>
          </w:p>
          <w:p>
            <w:pPr>
              <w:pStyle w:val="62"/>
              <w:snapToGrid w:val="0"/>
              <w:spacing w:line="240" w:lineRule="auto"/>
              <w:rPr>
                <w:rFonts w:ascii="Times New Roman" w:hAnsi="Times New Roman"/>
                <w:szCs w:val="18"/>
              </w:rPr>
            </w:pPr>
            <w:r>
              <w:rPr>
                <w:rFonts w:ascii="Times New Roman" w:hAnsi="Times New Roman"/>
                <w:szCs w:val="18"/>
              </w:rPr>
              <w:t xml:space="preserve">   </w:t>
            </w:r>
          </w:p>
          <w:p>
            <w:pPr>
              <w:pStyle w:val="62"/>
              <w:snapToGrid w:val="0"/>
              <w:spacing w:line="240" w:lineRule="auto"/>
              <w:ind w:left="180" w:hanging="180" w:hangingChars="100"/>
              <w:rPr>
                <w:rFonts w:ascii="Times New Roman" w:hAnsi="Times New Roman"/>
                <w:szCs w:val="18"/>
              </w:rPr>
            </w:pPr>
            <w:r>
              <w:rPr>
                <w:rFonts w:ascii="Times New Roman" w:hAnsi="Times New Roman"/>
                <w:szCs w:val="18"/>
              </w:rPr>
              <w:t xml:space="preserve">  </w:t>
            </w:r>
            <w:r>
              <w:rPr>
                <w:rFonts w:ascii="Times New Roman" w:hAnsi="Times New Roman"/>
                <w:b/>
                <w:bCs/>
                <w:szCs w:val="18"/>
              </w:rPr>
              <w:t>Note1:</w:t>
            </w:r>
            <w:r>
              <w:rPr>
                <w:rFonts w:ascii="Times New Roman" w:hAnsi="Times New Roman"/>
                <w:szCs w:val="18"/>
              </w:rPr>
              <w:t xml:space="preserve"> the maximum bandwidth for aggregation is </w:t>
            </w:r>
            <w:r>
              <w:rPr>
                <w:rFonts w:ascii="Times New Roman" w:hAnsi="Times New Roman"/>
                <w:color w:val="000000" w:themeColor="text1"/>
                <w:szCs w:val="18"/>
                <w14:textFill>
                  <w14:solidFill>
                    <w14:schemeClr w14:val="tx1"/>
                  </w14:solidFill>
                </w14:textFill>
              </w:rPr>
              <w:t xml:space="preserve">F×B where B is the bandwidth for single PFL reported by FG 13-1 </w:t>
            </w:r>
            <w:r>
              <w:rPr>
                <w:rFonts w:ascii="Times New Roman" w:hAnsi="Times New Roman"/>
                <w:szCs w:val="18"/>
              </w:rPr>
              <w:t xml:space="preserve">    </w:t>
            </w:r>
          </w:p>
          <w:p>
            <w:pPr>
              <w:pStyle w:val="62"/>
              <w:snapToGrid w:val="0"/>
              <w:spacing w:line="240" w:lineRule="auto"/>
              <w:rPr>
                <w:rFonts w:ascii="Times New Roman" w:hAnsi="Times New Roman"/>
                <w:szCs w:val="18"/>
              </w:rPr>
            </w:pPr>
          </w:p>
          <w:p>
            <w:pPr>
              <w:pStyle w:val="62"/>
              <w:numPr>
                <w:ilvl w:val="0"/>
                <w:numId w:val="26"/>
              </w:numPr>
              <w:snapToGrid w:val="0"/>
              <w:spacing w:line="240" w:lineRule="auto"/>
              <w:rPr>
                <w:rFonts w:ascii="Times New Roman" w:hAnsi="Times New Roman"/>
                <w:szCs w:val="18"/>
              </w:rPr>
            </w:pPr>
            <w:r>
              <w:rPr>
                <w:rFonts w:ascii="Times New Roman" w:hAnsi="Times New Roman"/>
                <w:szCs w:val="18"/>
              </w:rPr>
              <w:t>Duration of DL PRS symbols N</w:t>
            </w:r>
            <w:r>
              <w:rPr>
                <w:rFonts w:ascii="Times New Roman" w:hAnsi="Times New Roman"/>
                <w:szCs w:val="18"/>
                <w:vertAlign w:val="subscript"/>
              </w:rPr>
              <w:t>Agg</w:t>
            </w:r>
            <w:r>
              <w:rPr>
                <w:rFonts w:ascii="Times New Roman" w:hAnsi="Times New Roman"/>
                <w:szCs w:val="18"/>
              </w:rPr>
              <w:t xml:space="preserve"> in units of ms a UE can process every T</w:t>
            </w:r>
            <w:r>
              <w:rPr>
                <w:rFonts w:ascii="Times New Roman" w:hAnsi="Times New Roman"/>
                <w:szCs w:val="18"/>
                <w:vertAlign w:val="subscript"/>
              </w:rPr>
              <w:t>Agg</w:t>
            </w:r>
            <w:r>
              <w:rPr>
                <w:rFonts w:ascii="Times New Roman" w:hAnsi="Times New Roman"/>
                <w:szCs w:val="18"/>
              </w:rPr>
              <w:t xml:space="preserve"> ms assuming maximum DL PRS bandwidth after F PFLs aggregation in MHz, which is supported and reported by UE.</w:t>
            </w:r>
          </w:p>
          <w:p>
            <w:pPr>
              <w:pStyle w:val="62"/>
              <w:numPr>
                <w:ilvl w:val="0"/>
                <w:numId w:val="23"/>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T</w:t>
            </w:r>
            <w:r>
              <w:rPr>
                <w:rFonts w:ascii="Times New Roman" w:hAnsi="Times New Roman"/>
                <w:color w:val="000000" w:themeColor="text1"/>
                <w:szCs w:val="18"/>
                <w:vertAlign w:val="subscript"/>
                <w14:textFill>
                  <w14:solidFill>
                    <w14:schemeClr w14:val="tx1"/>
                  </w14:solidFill>
                </w14:textFill>
              </w:rPr>
              <w:t xml:space="preserve">Agg </w:t>
            </w:r>
            <w:r>
              <w:rPr>
                <w:rFonts w:ascii="Times New Roman" w:hAnsi="Times New Roman"/>
                <w:szCs w:val="18"/>
              </w:rPr>
              <w:t xml:space="preserve">: </w:t>
            </w:r>
            <w:r>
              <w:rPr>
                <w:rFonts w:ascii="Times New Roman" w:hAnsi="Times New Roman"/>
                <w:color w:val="000000" w:themeColor="text1"/>
                <w:szCs w:val="18"/>
                <w14:textFill>
                  <w14:solidFill>
                    <w14:schemeClr w14:val="tx1"/>
                  </w14:solidFill>
                </w14:textFill>
              </w:rPr>
              <w:t>{1, 2, 4, 8, 16, 20, 30, 40, 80, 160, 320, 640, 1280} ms</w:t>
            </w:r>
          </w:p>
          <w:p>
            <w:pPr>
              <w:pStyle w:val="62"/>
              <w:numPr>
                <w:ilvl w:val="0"/>
                <w:numId w:val="23"/>
              </w:numPr>
              <w:snapToGrid w:val="0"/>
              <w:spacing w:line="240" w:lineRule="auto"/>
              <w:ind w:firstLine="180" w:firstLineChars="10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w:t>
            </w:r>
            <w:r>
              <w:rPr>
                <w:rFonts w:ascii="Times New Roman" w:hAnsi="Times New Roman"/>
                <w:color w:val="000000" w:themeColor="text1"/>
                <w:szCs w:val="18"/>
                <w:vertAlign w:val="subscript"/>
                <w14:textFill>
                  <w14:solidFill>
                    <w14:schemeClr w14:val="tx1"/>
                  </w14:solidFill>
                </w14:textFill>
              </w:rPr>
              <w:t>Agg</w:t>
            </w:r>
            <w:r>
              <w:rPr>
                <w:rFonts w:ascii="Times New Roman" w:hAnsi="Times New Roman"/>
                <w:color w:val="000000" w:themeColor="text1"/>
                <w:szCs w:val="18"/>
                <w14:textFill>
                  <w14:solidFill>
                    <w14:schemeClr w14:val="tx1"/>
                  </w14:solidFill>
                </w14:textFill>
              </w:rPr>
              <w:t xml:space="preserve"> : {0.125, 0.25, 0.5, 1, 2, 4, 6, 8, 12, 16, 20, 25, 30, 32, 35, 40, 45, 50} ms</w:t>
            </w:r>
          </w:p>
          <w:p>
            <w:pPr>
              <w:pStyle w:val="62"/>
              <w:snapToGrid w:val="0"/>
              <w:spacing w:line="240" w:lineRule="auto"/>
              <w:ind w:left="220" w:leftChars="100"/>
              <w:rPr>
                <w:rFonts w:ascii="Times New Roman" w:hAnsi="Times New Roman"/>
                <w:b/>
                <w:bCs/>
                <w:szCs w:val="18"/>
              </w:rPr>
            </w:pPr>
          </w:p>
          <w:p>
            <w:pPr>
              <w:pStyle w:val="62"/>
              <w:snapToGrid w:val="0"/>
              <w:spacing w:line="240" w:lineRule="auto"/>
              <w:ind w:left="220" w:leftChars="100"/>
              <w:rPr>
                <w:rFonts w:ascii="Times New Roman" w:hAnsi="Times New Roman"/>
                <w:color w:val="000000" w:themeColor="text1"/>
                <w:szCs w:val="18"/>
                <w14:textFill>
                  <w14:solidFill>
                    <w14:schemeClr w14:val="tx1"/>
                  </w14:solidFill>
                </w14:textFill>
              </w:rPr>
            </w:pPr>
            <w:r>
              <w:rPr>
                <w:rFonts w:ascii="Times New Roman" w:hAnsi="Times New Roman"/>
                <w:b/>
                <w:bCs/>
                <w:szCs w:val="18"/>
              </w:rPr>
              <w:t>Note2:</w:t>
            </w:r>
            <w:r>
              <w:rPr>
                <w:rFonts w:ascii="Times New Roman" w:hAnsi="Times New Roman"/>
                <w:szCs w:val="18"/>
              </w:rPr>
              <w:t xml:space="preserve"> </w:t>
            </w:r>
            <w:r>
              <w:rPr>
                <w:rFonts w:ascii="Times New Roman" w:hAnsi="Times New Roman"/>
                <w:color w:val="000000" w:themeColor="text1"/>
                <w:szCs w:val="18"/>
                <w14:textFill>
                  <w14:solidFill>
                    <w14:schemeClr w14:val="tx1"/>
                  </w14:solidFill>
                </w14:textFill>
              </w:rPr>
              <w:t>N</w:t>
            </w:r>
            <w:r>
              <w:rPr>
                <w:rFonts w:ascii="Times New Roman" w:hAnsi="Times New Roman"/>
                <w:color w:val="000000" w:themeColor="text1"/>
                <w:szCs w:val="18"/>
                <w:vertAlign w:val="subscript"/>
                <w14:textFill>
                  <w14:solidFill>
                    <w14:schemeClr w14:val="tx1"/>
                  </w14:solidFill>
                </w14:textFill>
              </w:rPr>
              <w:t>Agg</w:t>
            </w:r>
            <w:r>
              <w:rPr>
                <w:rFonts w:ascii="Times New Roman" w:hAnsi="Times New Roman"/>
                <w:szCs w:val="18"/>
              </w:rPr>
              <w:t xml:space="preserve"> ≤ N or T</w:t>
            </w:r>
            <w:r>
              <w:rPr>
                <w:rFonts w:ascii="Times New Roman" w:hAnsi="Times New Roman"/>
                <w:szCs w:val="18"/>
                <w:vertAlign w:val="subscript"/>
              </w:rPr>
              <w:t>Agg</w:t>
            </w:r>
            <w:r>
              <w:rPr>
                <w:rFonts w:ascii="Times New Roman" w:hAnsi="Times New Roman"/>
                <w:szCs w:val="18"/>
              </w:rPr>
              <w:t>≥ T, where {N, T} is reported by FG 27-6</w:t>
            </w:r>
          </w:p>
          <w:p>
            <w:pPr>
              <w:pStyle w:val="62"/>
              <w:snapToGrid w:val="0"/>
              <w:spacing w:line="240" w:lineRule="auto"/>
              <w:rPr>
                <w:rFonts w:ascii="Times New Roman" w:hAnsi="Times New Roman"/>
                <w:szCs w:val="18"/>
              </w:rPr>
            </w:pPr>
          </w:p>
          <w:p>
            <w:pPr>
              <w:pStyle w:val="62"/>
              <w:numPr>
                <w:ilvl w:val="0"/>
                <w:numId w:val="26"/>
              </w:numPr>
              <w:snapToGrid w:val="0"/>
              <w:spacing w:line="240" w:lineRule="auto"/>
              <w:rPr>
                <w:rFonts w:ascii="Times New Roman" w:hAnsi="Times New Roman"/>
                <w:szCs w:val="18"/>
              </w:rPr>
            </w:pPr>
            <w:r>
              <w:rPr>
                <w:rFonts w:ascii="Times New Roman" w:hAnsi="Times New Roman"/>
                <w:szCs w:val="18"/>
              </w:rPr>
              <w:t xml:space="preserve">Max number of DL PRS resources </w:t>
            </w:r>
            <w:r>
              <w:rPr>
                <w:rFonts w:ascii="Times New Roman" w:hAnsi="Times New Roman"/>
                <w:b/>
                <w:bCs/>
                <w:szCs w:val="18"/>
              </w:rPr>
              <w:t>M</w:t>
            </w:r>
            <w:r>
              <w:rPr>
                <w:rFonts w:ascii="Times New Roman" w:hAnsi="Times New Roman"/>
                <w:b/>
                <w:bCs/>
                <w:szCs w:val="18"/>
                <w:vertAlign w:val="subscript"/>
              </w:rPr>
              <w:t>Agg</w:t>
            </w:r>
            <w:r>
              <w:rPr>
                <w:rFonts w:ascii="Times New Roman" w:hAnsi="Times New Roman"/>
                <w:szCs w:val="18"/>
              </w:rPr>
              <w:t xml:space="preserve"> that UE can process in a slot under it for PFL aggregation measurement</w:t>
            </w:r>
          </w:p>
          <w:p>
            <w:pPr>
              <w:pStyle w:val="62"/>
              <w:snapToGrid w:val="0"/>
              <w:spacing w:line="240" w:lineRule="auto"/>
              <w:ind w:left="599" w:hanging="283"/>
              <w:rPr>
                <w:rFonts w:ascii="Times New Roman" w:hAnsi="Times New Roman"/>
                <w:szCs w:val="18"/>
              </w:rPr>
            </w:pPr>
            <w:r>
              <w:rPr>
                <w:rFonts w:ascii="Times New Roman" w:hAnsi="Times New Roman"/>
                <w:szCs w:val="18"/>
              </w:rPr>
              <w:t>a)</w:t>
            </w:r>
            <w:r>
              <w:rPr>
                <w:rFonts w:ascii="Times New Roman" w:hAnsi="Times New Roman"/>
                <w:szCs w:val="18"/>
              </w:rPr>
              <w:tab/>
            </w:r>
            <w:r>
              <w:rPr>
                <w:rFonts w:ascii="Times New Roman" w:hAnsi="Times New Roman"/>
                <w:szCs w:val="18"/>
              </w:rPr>
              <w:t>FR1 bands: {1, 2, 4, 6, 8, 12, 16, 24, 32, 48, 64} for each SCS: 15kHz, 30kHz, 60kHz</w:t>
            </w:r>
          </w:p>
          <w:p>
            <w:pPr>
              <w:pStyle w:val="62"/>
              <w:snapToGrid w:val="0"/>
              <w:spacing w:line="240" w:lineRule="auto"/>
              <w:ind w:left="599" w:hanging="283"/>
              <w:rPr>
                <w:rFonts w:ascii="Times New Roman" w:hAnsi="Times New Roman"/>
                <w:szCs w:val="18"/>
              </w:rPr>
            </w:pPr>
            <w:r>
              <w:rPr>
                <w:rFonts w:ascii="Times New Roman" w:hAnsi="Times New Roman"/>
                <w:szCs w:val="18"/>
              </w:rPr>
              <w:t>b)</w:t>
            </w:r>
            <w:r>
              <w:rPr>
                <w:rFonts w:ascii="Times New Roman" w:hAnsi="Times New Roman"/>
                <w:szCs w:val="18"/>
              </w:rPr>
              <w:tab/>
            </w:r>
            <w:r>
              <w:rPr>
                <w:rFonts w:ascii="Times New Roman" w:hAnsi="Times New Roman"/>
                <w:szCs w:val="18"/>
              </w:rPr>
              <w:t>FR2 bands: {1, 2, 4, 6, 8, 12, 16, 24, 32, 48, 64} for each SCS: 60kHz, 120kHz</w:t>
            </w:r>
          </w:p>
          <w:p>
            <w:pPr>
              <w:pStyle w:val="62"/>
              <w:snapToGrid w:val="0"/>
              <w:spacing w:line="240" w:lineRule="auto"/>
              <w:rPr>
                <w:rFonts w:ascii="Times New Roman" w:hAnsi="Times New Roman"/>
                <w:szCs w:val="18"/>
              </w:rPr>
            </w:pPr>
            <w:r>
              <w:rPr>
                <w:rFonts w:ascii="Times New Roman" w:hAnsi="Times New Roman"/>
                <w:szCs w:val="18"/>
              </w:rPr>
              <w:t xml:space="preserve">   </w:t>
            </w:r>
          </w:p>
          <w:p>
            <w:pPr>
              <w:pStyle w:val="62"/>
              <w:snapToGrid w:val="0"/>
              <w:spacing w:line="240" w:lineRule="auto"/>
              <w:ind w:left="220" w:leftChars="100"/>
              <w:rPr>
                <w:rFonts w:ascii="Times New Roman" w:hAnsi="Times New Roman"/>
                <w:color w:val="000000" w:themeColor="text1"/>
                <w:szCs w:val="18"/>
                <w14:textFill>
                  <w14:solidFill>
                    <w14:schemeClr w14:val="tx1"/>
                  </w14:solidFill>
                </w14:textFill>
              </w:rPr>
            </w:pPr>
            <w:r>
              <w:rPr>
                <w:rFonts w:ascii="Times New Roman" w:hAnsi="Times New Roman"/>
                <w:b/>
                <w:bCs/>
                <w:szCs w:val="18"/>
              </w:rPr>
              <w:t>Note3:</w:t>
            </w:r>
            <w:r>
              <w:rPr>
                <w:rFonts w:ascii="Times New Roman" w:hAnsi="Times New Roman"/>
                <w:szCs w:val="18"/>
              </w:rPr>
              <w:t xml:space="preserve"> </w:t>
            </w:r>
            <w:r>
              <w:rPr>
                <w:rFonts w:ascii="Times New Roman" w:hAnsi="Times New Roman"/>
                <w:b/>
                <w:bCs/>
                <w:szCs w:val="18"/>
              </w:rPr>
              <w:t>M</w:t>
            </w:r>
            <w:r>
              <w:rPr>
                <w:rFonts w:ascii="Times New Roman" w:hAnsi="Times New Roman"/>
                <w:b/>
                <w:bCs/>
                <w:szCs w:val="18"/>
                <w:vertAlign w:val="subscript"/>
              </w:rPr>
              <w:t>Agg</w:t>
            </w:r>
            <w:r>
              <w:rPr>
                <w:rFonts w:ascii="Times New Roman" w:hAnsi="Times New Roman"/>
                <w:szCs w:val="18"/>
              </w:rPr>
              <w:t xml:space="preserve"> ≤ M, where M is maximum number PRS resources for single PFL measurement reported by FG 27-6</w:t>
            </w:r>
          </w:p>
          <w:p>
            <w:pPr>
              <w:pStyle w:val="62"/>
              <w:snapToGrid w:val="0"/>
              <w:spacing w:line="240" w:lineRule="auto"/>
              <w:rPr>
                <w:rFonts w:ascii="Times New Roman" w:hAnsi="Times New Roman"/>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trike/>
                <w:color w:val="000000" w:themeColor="text1"/>
                <w:szCs w:val="18"/>
                <w:highlight w:val="yellow"/>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27-6, 13-1a, 27-18a, 27-18c </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DL PRS bandwidth aggregation measurement is not supported</w:t>
            </w:r>
            <w:r>
              <w:rPr>
                <w:rFonts w:hint="eastAsia" w:ascii="Times New Roman" w:hAnsi="Times New Roman" w:eastAsia="宋体"/>
                <w:color w:val="000000" w:themeColor="text1"/>
                <w:szCs w:val="18"/>
                <w14:textFill>
                  <w14:solidFill>
                    <w14:schemeClr w14:val="tx1"/>
                  </w14:solidFill>
                </w14:textFill>
              </w:rPr>
              <w:t xml:space="preserve"> </w:t>
            </w:r>
            <w:r>
              <w:rPr>
                <w:rFonts w:ascii="Times New Roman" w:hAnsi="Times New Roman"/>
                <w:color w:val="C00000"/>
                <w:szCs w:val="18"/>
              </w:rPr>
              <w:t>in RRC inactive state</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41-4-3</w:t>
            </w:r>
          </w:p>
        </w:tc>
        <w:tc>
          <w:tcPr>
            <w:tcW w:w="169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 xml:space="preserve">Simultaneous positioning SRS transmission within a band across multiple contiguous CCs for SRS bandwidth aggregation in </w:t>
            </w:r>
            <w:r>
              <w:rPr>
                <w:rFonts w:ascii="Times New Roman" w:hAnsi="Times New Roman"/>
                <w:color w:val="C00000"/>
                <w:szCs w:val="18"/>
              </w:rPr>
              <w:t>RRC_CONNECTED</w:t>
            </w:r>
            <w:r>
              <w:rPr>
                <w:rFonts w:ascii="Times New Roman" w:hAnsi="Times New Roman"/>
                <w:szCs w:val="18"/>
              </w:rPr>
              <w:t xml:space="preserve"> state</w:t>
            </w:r>
          </w:p>
        </w:tc>
        <w:tc>
          <w:tcPr>
            <w:tcW w:w="4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lang w:eastAsia="en-US"/>
              </w:rPr>
              <w:t xml:space="preserve">1. </w:t>
            </w:r>
            <w:r>
              <w:rPr>
                <w:rFonts w:ascii="Times New Roman" w:hAnsi="Times New Roman"/>
                <w:szCs w:val="18"/>
              </w:rPr>
              <w:t>The number of SRS resources for positioning on a symbol across contiguous carriers</w:t>
            </w:r>
          </w:p>
          <w:p>
            <w:pPr>
              <w:pStyle w:val="62"/>
              <w:adjustRightInd w:val="0"/>
              <w:snapToGrid w:val="0"/>
              <w:spacing w:line="240" w:lineRule="auto"/>
              <w:rPr>
                <w:rFonts w:ascii="Times New Roman" w:hAnsi="Times New Roman"/>
                <w:szCs w:val="18"/>
              </w:rPr>
            </w:pPr>
            <w:r>
              <w:rPr>
                <w:rFonts w:ascii="Times New Roman" w:hAnsi="Times New Roman"/>
                <w:szCs w:val="18"/>
              </w:rPr>
              <w:t>Candidate values {2, 3}</w:t>
            </w:r>
          </w:p>
          <w:p>
            <w:pPr>
              <w:pStyle w:val="62"/>
              <w:adjustRightInd w:val="0"/>
              <w:snapToGrid w:val="0"/>
              <w:spacing w:line="240" w:lineRule="auto"/>
              <w:rPr>
                <w:rFonts w:ascii="Times New Roman" w:hAnsi="Times New Roman"/>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13-8</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Positioning SRS bandwidth aggregation is not supported for UE in RRC_CONNECTED state</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41-4-4</w:t>
            </w:r>
          </w:p>
        </w:tc>
        <w:tc>
          <w:tcPr>
            <w:tcW w:w="169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 xml:space="preserve">Simultaneous positioning SRS transmission within a band across multiple contiguous CCs for SRS bandwidth aggregation in </w:t>
            </w:r>
            <w:r>
              <w:rPr>
                <w:rFonts w:ascii="Times New Roman" w:hAnsi="Times New Roman"/>
                <w:color w:val="C00000"/>
                <w:szCs w:val="18"/>
              </w:rPr>
              <w:t>RRC_INACTIVE</w:t>
            </w:r>
            <w:r>
              <w:rPr>
                <w:rFonts w:ascii="Times New Roman" w:hAnsi="Times New Roman"/>
                <w:szCs w:val="18"/>
              </w:rPr>
              <w:t xml:space="preserve"> state </w:t>
            </w:r>
          </w:p>
        </w:tc>
        <w:tc>
          <w:tcPr>
            <w:tcW w:w="4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lang w:eastAsia="en-US"/>
              </w:rPr>
              <w:t xml:space="preserve">1. </w:t>
            </w:r>
            <w:r>
              <w:rPr>
                <w:rFonts w:ascii="Times New Roman" w:hAnsi="Times New Roman"/>
                <w:szCs w:val="18"/>
              </w:rPr>
              <w:t>The number of SRS resources for positioning on a symbol across contiguous carriers</w:t>
            </w:r>
          </w:p>
          <w:p>
            <w:pPr>
              <w:pStyle w:val="62"/>
              <w:adjustRightInd w:val="0"/>
              <w:snapToGrid w:val="0"/>
              <w:spacing w:line="240" w:lineRule="auto"/>
              <w:rPr>
                <w:rFonts w:ascii="Times New Roman" w:hAnsi="Times New Roman"/>
                <w:szCs w:val="18"/>
              </w:rPr>
            </w:pPr>
            <w:r>
              <w:rPr>
                <w:rFonts w:ascii="Times New Roman" w:hAnsi="Times New Roman"/>
                <w:szCs w:val="18"/>
              </w:rPr>
              <w:t>Candidate values {2, 3}</w:t>
            </w:r>
          </w:p>
          <w:p>
            <w:pPr>
              <w:pStyle w:val="62"/>
              <w:adjustRightInd w:val="0"/>
              <w:snapToGrid w:val="0"/>
              <w:spacing w:line="240" w:lineRule="auto"/>
              <w:rPr>
                <w:rFonts w:ascii="Times New Roman" w:hAnsi="Times New Roman"/>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27-15b</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Positioning SRS bandwidth aggregation is not supported for UE in RRC_INACTIVE state</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bl>
    <w:p>
      <w:pPr>
        <w:rPr>
          <w:rFonts w:ascii="Times New Roman" w:hAnsi="Times New Roman"/>
          <w:sz w:val="28"/>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positioning for RedCap U</w:t>
      </w:r>
      <w:r>
        <w:rPr>
          <w:rFonts w:ascii="Times New Roman" w:hAnsi="Times New Roman"/>
          <w:sz w:val="28"/>
          <w:lang w:val="en-US"/>
        </w:rPr>
        <w:t>E</w:t>
      </w:r>
      <w:r>
        <w:rPr>
          <w:rFonts w:hint="eastAsia" w:ascii="Times New Roman" w:hAnsi="Times New Roman"/>
          <w:sz w:val="28"/>
          <w:lang w:val="en-US"/>
        </w:rPr>
        <w:t>s</w:t>
      </w:r>
    </w:p>
    <w:bookmarkEnd w:id="5"/>
    <w:p>
      <w:pPr>
        <w:snapToGrid w:val="0"/>
        <w:spacing w:after="180" w:afterLines="50" w:line="240" w:lineRule="auto"/>
        <w:rPr>
          <w:rFonts w:ascii="Times New Roman" w:hAnsi="Times New Roman"/>
          <w:sz w:val="20"/>
        </w:rPr>
      </w:pPr>
      <w:r>
        <w:rPr>
          <w:rFonts w:ascii="Times New Roman" w:hAnsi="Times New Roman"/>
          <w:sz w:val="20"/>
        </w:rPr>
        <w:t>Regarding UE features on positioning RedCap UEs, we provide our views as below:</w:t>
      </w:r>
    </w:p>
    <w:p>
      <w:pPr>
        <w:pStyle w:val="15"/>
        <w:snapToGrid w:val="0"/>
        <w:contextualSpacing/>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eastAsia="zh-CN"/>
        </w:rPr>
        <w:t xml:space="preserve">6: </w:t>
      </w:r>
      <w:r>
        <w:rPr>
          <w:rFonts w:hint="eastAsia"/>
          <w:b w:val="0"/>
          <w:bCs w:val="0"/>
          <w:i/>
          <w:iCs/>
          <w:lang w:val="en-US" w:eastAsia="zh-CN"/>
        </w:rPr>
        <w:t>Introduce a new FG 41-</w:t>
      </w:r>
      <w:r>
        <w:rPr>
          <w:b w:val="0"/>
          <w:bCs w:val="0"/>
          <w:i/>
          <w:iCs/>
          <w:lang w:val="en-US" w:eastAsia="zh-CN"/>
        </w:rPr>
        <w:t>5</w:t>
      </w:r>
      <w:r>
        <w:rPr>
          <w:rFonts w:hint="eastAsia"/>
          <w:b w:val="0"/>
          <w:bCs w:val="0"/>
          <w:i/>
          <w:iCs/>
          <w:lang w:val="en-US" w:eastAsia="zh-CN"/>
        </w:rPr>
        <w:t>-1 for</w:t>
      </w:r>
      <w:r>
        <w:rPr>
          <w:b w:val="0"/>
          <w:bCs w:val="0"/>
          <w:i/>
          <w:iCs/>
          <w:lang w:val="en-US" w:eastAsia="zh-CN"/>
        </w:rPr>
        <w:t xml:space="preserve"> DL PRS processing capability of RedCap UE for frequency hopping in MG</w:t>
      </w:r>
      <w:r>
        <w:rPr>
          <w:rFonts w:hint="eastAsia"/>
          <w:b w:val="0"/>
          <w:bCs w:val="0"/>
          <w:i/>
          <w:iCs/>
          <w:lang w:val="en-US" w:eastAsia="zh-CN"/>
        </w:rPr>
        <w:t>:</w:t>
      </w:r>
    </w:p>
    <w:p>
      <w:pPr>
        <w:pStyle w:val="94"/>
        <w:numPr>
          <w:ilvl w:val="0"/>
          <w:numId w:val="27"/>
        </w:numPr>
        <w:snapToGrid w:val="0"/>
        <w:spacing w:afterLines="50" w:line="240" w:lineRule="auto"/>
        <w:rPr>
          <w:i/>
          <w:sz w:val="20"/>
        </w:rPr>
      </w:pPr>
      <w:r>
        <w:rPr>
          <w:rFonts w:hint="eastAsia"/>
          <w:i/>
          <w:sz w:val="20"/>
          <w:lang w:eastAsia="zh-CN"/>
        </w:rPr>
        <w:t>R</w:t>
      </w:r>
      <w:r>
        <w:rPr>
          <w:i/>
          <w:sz w:val="20"/>
          <w:lang w:eastAsia="zh-CN"/>
        </w:rPr>
        <w:t>eport the maximum number of hops</w:t>
      </w:r>
    </w:p>
    <w:p>
      <w:pPr>
        <w:pStyle w:val="94"/>
        <w:numPr>
          <w:ilvl w:val="1"/>
          <w:numId w:val="27"/>
        </w:numPr>
        <w:snapToGrid w:val="0"/>
        <w:spacing w:afterLines="50" w:line="240" w:lineRule="auto"/>
        <w:rPr>
          <w:i/>
          <w:sz w:val="20"/>
        </w:rPr>
      </w:pPr>
      <w:r>
        <w:rPr>
          <w:rFonts w:hint="eastAsia" w:eastAsiaTheme="minorEastAsia"/>
          <w:i/>
          <w:sz w:val="20"/>
          <w:lang w:eastAsia="zh-CN"/>
        </w:rPr>
        <w:t>T</w:t>
      </w:r>
      <w:r>
        <w:rPr>
          <w:rFonts w:eastAsiaTheme="minorEastAsia"/>
          <w:i/>
          <w:sz w:val="20"/>
          <w:lang w:eastAsia="zh-CN"/>
        </w:rPr>
        <w:t>he bandwidth of each hop refers to FG 28-1</w:t>
      </w:r>
    </w:p>
    <w:p>
      <w:pPr>
        <w:pStyle w:val="94"/>
        <w:numPr>
          <w:ilvl w:val="0"/>
          <w:numId w:val="27"/>
        </w:numPr>
        <w:snapToGrid w:val="0"/>
        <w:spacing w:afterLines="50" w:line="240" w:lineRule="auto"/>
        <w:rPr>
          <w:i/>
          <w:sz w:val="20"/>
        </w:rPr>
      </w:pPr>
      <w:r>
        <w:rPr>
          <w:rFonts w:hint="eastAsia" w:eastAsiaTheme="minorEastAsia"/>
          <w:i/>
          <w:sz w:val="20"/>
          <w:lang w:eastAsia="zh-CN"/>
        </w:rPr>
        <w:t>R</w:t>
      </w:r>
      <w:r>
        <w:rPr>
          <w:rFonts w:eastAsiaTheme="minorEastAsia"/>
          <w:i/>
          <w:sz w:val="20"/>
          <w:lang w:eastAsia="zh-CN"/>
        </w:rPr>
        <w:t>eport capability of overlapping PRB(s) between adjacent hops or a capability on the maximum equivalent bandwidth after combing all hops</w:t>
      </w:r>
    </w:p>
    <w:p>
      <w:pPr>
        <w:pStyle w:val="94"/>
        <w:numPr>
          <w:ilvl w:val="0"/>
          <w:numId w:val="27"/>
        </w:numPr>
        <w:snapToGrid w:val="0"/>
        <w:spacing w:afterLines="50" w:line="240" w:lineRule="auto"/>
        <w:rPr>
          <w:i/>
          <w:sz w:val="20"/>
        </w:rPr>
      </w:pPr>
      <w:r>
        <w:rPr>
          <w:rFonts w:hint="eastAsia"/>
          <w:i/>
          <w:iCs/>
          <w:sz w:val="20"/>
        </w:rPr>
        <w:t>Report the PRS processing time {N</w:t>
      </w:r>
      <w:r>
        <w:rPr>
          <w:i/>
          <w:iCs/>
          <w:sz w:val="20"/>
          <w:vertAlign w:val="subscript"/>
        </w:rPr>
        <w:t>FH</w:t>
      </w:r>
      <w:r>
        <w:rPr>
          <w:rFonts w:hint="eastAsia"/>
          <w:i/>
          <w:iCs/>
          <w:sz w:val="20"/>
        </w:rPr>
        <w:t>, T</w:t>
      </w:r>
      <w:r>
        <w:rPr>
          <w:i/>
          <w:iCs/>
          <w:sz w:val="20"/>
          <w:vertAlign w:val="subscript"/>
        </w:rPr>
        <w:t>FH</w:t>
      </w:r>
      <w:r>
        <w:rPr>
          <w:rFonts w:hint="eastAsia"/>
          <w:i/>
          <w:iCs/>
          <w:sz w:val="20"/>
        </w:rPr>
        <w:t xml:space="preserve">} for </w:t>
      </w:r>
      <w:r>
        <w:rPr>
          <w:i/>
          <w:iCs/>
          <w:sz w:val="20"/>
        </w:rPr>
        <w:t>frequency hopping</w:t>
      </w:r>
      <w:r>
        <w:rPr>
          <w:rFonts w:hint="eastAsia"/>
          <w:i/>
          <w:iCs/>
          <w:sz w:val="20"/>
        </w:rPr>
        <w:t>.</w:t>
      </w:r>
    </w:p>
    <w:p>
      <w:pPr>
        <w:pStyle w:val="94"/>
        <w:numPr>
          <w:ilvl w:val="1"/>
          <w:numId w:val="27"/>
        </w:numPr>
        <w:snapToGrid w:val="0"/>
        <w:spacing w:afterLines="50" w:line="240" w:lineRule="auto"/>
        <w:rPr>
          <w:i/>
          <w:sz w:val="20"/>
        </w:rPr>
      </w:pPr>
      <w:r>
        <w:rPr>
          <w:rFonts w:hint="eastAsia" w:eastAsiaTheme="minorEastAsia"/>
          <w:i/>
          <w:sz w:val="20"/>
          <w:lang w:eastAsia="zh-CN"/>
        </w:rPr>
        <w:t>C</w:t>
      </w:r>
      <w:r>
        <w:rPr>
          <w:rFonts w:eastAsiaTheme="minorEastAsia"/>
          <w:i/>
          <w:sz w:val="20"/>
          <w:lang w:eastAsia="zh-CN"/>
        </w:rPr>
        <w:t>onsidering there are gap between two hops, duration of DL PRS symbols in ms processed every T ms can be different.</w:t>
      </w:r>
    </w:p>
    <w:p>
      <w:pPr>
        <w:snapToGrid w:val="0"/>
        <w:spacing w:after="180" w:afterLines="50" w:line="240" w:lineRule="auto"/>
        <w:rPr>
          <w:rFonts w:hint="eastAsia" w:ascii="Times New Roman" w:hAnsi="Times New Roman"/>
          <w:sz w:val="20"/>
        </w:rPr>
      </w:pPr>
    </w:p>
    <w:p>
      <w:pPr>
        <w:pStyle w:val="15"/>
        <w:snapToGrid w:val="0"/>
        <w:contextualSpacing/>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eastAsia="zh-CN"/>
        </w:rPr>
        <w:t xml:space="preserve">7: </w:t>
      </w:r>
      <w:r>
        <w:rPr>
          <w:rFonts w:hint="eastAsia"/>
          <w:b w:val="0"/>
          <w:bCs w:val="0"/>
          <w:i/>
          <w:iCs/>
          <w:lang w:val="en-US" w:eastAsia="zh-CN"/>
        </w:rPr>
        <w:t>Introduce a new FG 41-</w:t>
      </w:r>
      <w:r>
        <w:rPr>
          <w:b w:val="0"/>
          <w:bCs w:val="0"/>
          <w:i/>
          <w:iCs/>
          <w:lang w:val="en-US" w:eastAsia="zh-CN"/>
        </w:rPr>
        <w:t>5</w:t>
      </w:r>
      <w:r>
        <w:rPr>
          <w:rFonts w:hint="eastAsia"/>
          <w:b w:val="0"/>
          <w:bCs w:val="0"/>
          <w:i/>
          <w:iCs/>
          <w:lang w:val="en-US" w:eastAsia="zh-CN"/>
        </w:rPr>
        <w:t>-</w:t>
      </w:r>
      <w:r>
        <w:rPr>
          <w:b w:val="0"/>
          <w:bCs w:val="0"/>
          <w:i/>
          <w:iCs/>
          <w:lang w:val="en-US" w:eastAsia="zh-CN"/>
        </w:rPr>
        <w:t>2</w:t>
      </w:r>
      <w:r>
        <w:rPr>
          <w:rFonts w:hint="eastAsia"/>
          <w:b w:val="0"/>
          <w:bCs w:val="0"/>
          <w:i/>
          <w:iCs/>
          <w:lang w:val="en-US" w:eastAsia="zh-CN"/>
        </w:rPr>
        <w:t xml:space="preserve"> for</w:t>
      </w:r>
      <w:r>
        <w:rPr>
          <w:b w:val="0"/>
          <w:bCs w:val="0"/>
          <w:i/>
          <w:iCs/>
          <w:lang w:val="en-US" w:eastAsia="zh-CN"/>
        </w:rPr>
        <w:t xml:space="preserve"> RedCap UE SRS frequency hopping</w:t>
      </w:r>
      <w:r>
        <w:rPr>
          <w:rFonts w:hint="eastAsia"/>
          <w:b w:val="0"/>
          <w:bCs w:val="0"/>
          <w:i/>
          <w:iCs/>
          <w:lang w:val="en-US" w:eastAsia="zh-CN"/>
        </w:rPr>
        <w:t>:</w:t>
      </w:r>
    </w:p>
    <w:p>
      <w:pPr>
        <w:pStyle w:val="94"/>
        <w:numPr>
          <w:ilvl w:val="0"/>
          <w:numId w:val="28"/>
        </w:numPr>
        <w:snapToGrid w:val="0"/>
        <w:spacing w:afterLines="50" w:line="240" w:lineRule="auto"/>
        <w:rPr>
          <w:i/>
          <w:sz w:val="20"/>
        </w:rPr>
      </w:pPr>
      <w:r>
        <w:rPr>
          <w:rFonts w:hint="eastAsia"/>
          <w:i/>
          <w:sz w:val="20"/>
          <w:lang w:eastAsia="zh-CN"/>
        </w:rPr>
        <w:t>R</w:t>
      </w:r>
      <w:r>
        <w:rPr>
          <w:i/>
          <w:sz w:val="20"/>
          <w:lang w:eastAsia="zh-CN"/>
        </w:rPr>
        <w:t>eport the maximum number of hops</w:t>
      </w:r>
    </w:p>
    <w:p>
      <w:pPr>
        <w:pStyle w:val="94"/>
        <w:numPr>
          <w:ilvl w:val="1"/>
          <w:numId w:val="28"/>
        </w:numPr>
        <w:snapToGrid w:val="0"/>
        <w:spacing w:afterLines="50" w:line="240" w:lineRule="auto"/>
        <w:rPr>
          <w:i/>
          <w:sz w:val="20"/>
        </w:rPr>
      </w:pPr>
      <w:r>
        <w:rPr>
          <w:rFonts w:hint="eastAsia" w:eastAsiaTheme="minorEastAsia"/>
          <w:i/>
          <w:sz w:val="20"/>
          <w:lang w:eastAsia="zh-CN"/>
        </w:rPr>
        <w:t>T</w:t>
      </w:r>
      <w:r>
        <w:rPr>
          <w:rFonts w:eastAsiaTheme="minorEastAsia"/>
          <w:i/>
          <w:sz w:val="20"/>
          <w:lang w:eastAsia="zh-CN"/>
        </w:rPr>
        <w:t>he bandwidth of each hop refers to FG 28-1</w:t>
      </w:r>
    </w:p>
    <w:p>
      <w:pPr>
        <w:pStyle w:val="94"/>
        <w:numPr>
          <w:ilvl w:val="0"/>
          <w:numId w:val="28"/>
        </w:numPr>
        <w:snapToGrid w:val="0"/>
        <w:rPr>
          <w:i/>
          <w:sz w:val="20"/>
        </w:rPr>
      </w:pPr>
      <w:r>
        <w:rPr>
          <w:i/>
          <w:sz w:val="20"/>
        </w:rPr>
        <w:t>Report capability of overlapping PRB(s) between adjacent hops or a capability on the maximum equivalent bandwidth after combing all hops</w:t>
      </w:r>
    </w:p>
    <w:p>
      <w:pPr>
        <w:snapToGrid w:val="0"/>
        <w:spacing w:after="180" w:afterLines="50" w:line="240" w:lineRule="auto"/>
        <w:rPr>
          <w:rFonts w:hint="eastAsia"/>
          <w:sz w:val="20"/>
        </w:rPr>
      </w:pPr>
    </w:p>
    <w:p>
      <w:pPr>
        <w:snapToGrid w:val="0"/>
        <w:spacing w:after="180" w:afterLines="50" w:line="240" w:lineRule="auto"/>
        <w:rPr>
          <w:rFonts w:hint="eastAsia" w:ascii="Times New Roman" w:hAnsi="Times New Roman"/>
          <w:sz w:val="20"/>
        </w:rPr>
      </w:pPr>
    </w:p>
    <w:tbl>
      <w:tblPr>
        <w:tblStyle w:val="27"/>
        <w:tblW w:w="22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695"/>
        <w:gridCol w:w="4462"/>
        <w:gridCol w:w="1320"/>
        <w:gridCol w:w="1283"/>
        <w:gridCol w:w="1131"/>
        <w:gridCol w:w="1636"/>
        <w:gridCol w:w="2048"/>
        <w:gridCol w:w="1497"/>
        <w:gridCol w:w="1462"/>
        <w:gridCol w:w="1111"/>
        <w:gridCol w:w="223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Index</w:t>
            </w:r>
          </w:p>
        </w:tc>
        <w:tc>
          <w:tcPr>
            <w:tcW w:w="16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Feature group</w:t>
            </w:r>
          </w:p>
        </w:tc>
        <w:tc>
          <w:tcPr>
            <w:tcW w:w="4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Components</w:t>
            </w:r>
          </w:p>
        </w:tc>
        <w:tc>
          <w:tcPr>
            <w:tcW w:w="13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Prerequisite feature groups</w:t>
            </w:r>
          </w:p>
        </w:tc>
        <w:tc>
          <w:tcPr>
            <w:tcW w:w="12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for the gNB to know if the feature is supported</w:t>
            </w:r>
          </w:p>
        </w:tc>
        <w:tc>
          <w:tcPr>
            <w:tcW w:w="11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Gulim" w:cs="Arial"/>
                <w:b/>
                <w:color w:val="000000"/>
                <w:sz w:val="18"/>
                <w:szCs w:val="18"/>
                <w:lang w:val="en-GB" w:eastAsia="ja-JP"/>
              </w:rPr>
              <w:t xml:space="preserve">Applicable to </w:t>
            </w:r>
            <w:r>
              <w:rPr>
                <w:rFonts w:ascii="Arial" w:hAnsi="Arial" w:eastAsia="Times New Roman" w:cs="Arial"/>
                <w:b/>
                <w:color w:val="000000"/>
                <w:sz w:val="18"/>
                <w:szCs w:val="18"/>
                <w:lang w:val="en-GB" w:eastAsia="ja-JP"/>
              </w:rPr>
              <w:t>the capability signalling exchange between UEs (Sidelink WI only)”.</w:t>
            </w:r>
          </w:p>
        </w:tc>
        <w:tc>
          <w:tcPr>
            <w:tcW w:w="1636"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Consequence if the feature is not supported by the UE</w:t>
            </w:r>
          </w:p>
        </w:tc>
        <w:tc>
          <w:tcPr>
            <w:tcW w:w="2048"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Type</w:t>
            </w:r>
          </w:p>
          <w:p>
            <w:pPr>
              <w:keepNext/>
              <w:keepLines/>
              <w:adjustRightInd w:val="0"/>
              <w:snapToGrid w:val="0"/>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(the ‘type’ definition from UE features should be based on the granularity of 1) Per UE or 2) Per Band or 3) Per BC or 4) Per FS or 5) Per FSPC)</w:t>
            </w:r>
          </w:p>
        </w:tc>
        <w:tc>
          <w:tcPr>
            <w:tcW w:w="1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FDD/TDD differentiation</w:t>
            </w:r>
          </w:p>
        </w:tc>
        <w:tc>
          <w:tcPr>
            <w:tcW w:w="1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Need of FR1/FR2 differentiation</w:t>
            </w:r>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Capability interpretation for mixture of FDD/TDD and/or FR1/FR2</w:t>
            </w:r>
          </w:p>
        </w:tc>
        <w:tc>
          <w:tcPr>
            <w:tcW w:w="22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Note</w:t>
            </w:r>
          </w:p>
        </w:tc>
        <w:tc>
          <w:tcPr>
            <w:tcW w:w="14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Arial" w:hAnsi="Arial" w:eastAsia="Times New Roman" w:cs="Arial"/>
                <w:b/>
                <w:color w:val="000000"/>
                <w:sz w:val="18"/>
                <w:szCs w:val="18"/>
                <w:lang w:val="en-GB" w:eastAsia="ja-JP"/>
              </w:rPr>
            </w:pPr>
            <w:r>
              <w:rPr>
                <w:rFonts w:ascii="Arial" w:hAnsi="Arial" w:eastAsia="Times New Roman" w:cs="Arial"/>
                <w:b/>
                <w:color w:val="000000"/>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41-5-1</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szCs w:val="18"/>
              </w:rPr>
            </w:pPr>
            <w:r>
              <w:rPr>
                <w:rFonts w:ascii="Times New Roman" w:hAnsi="Times New Roman"/>
                <w:szCs w:val="18"/>
              </w:rPr>
              <w:t>DL PRS processing capability of RedCap UE for frequency hopping in MG</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szCs w:val="18"/>
              </w:rPr>
            </w:pPr>
            <w:r>
              <w:rPr>
                <w:rFonts w:ascii="Times New Roman" w:hAnsi="Times New Roman"/>
                <w:szCs w:val="18"/>
              </w:rPr>
              <w:t>1. Maximum number H of hops for PRS Rx frequency hopping, which is supported and reported by UE.</w:t>
            </w:r>
          </w:p>
          <w:p>
            <w:pPr>
              <w:pStyle w:val="62"/>
              <w:snapToGrid w:val="0"/>
              <w:spacing w:line="240" w:lineRule="auto"/>
              <w:ind w:left="599" w:hanging="316"/>
              <w:rPr>
                <w:rFonts w:ascii="Times New Roman" w:hAnsi="Times New Roman"/>
                <w:szCs w:val="18"/>
              </w:rPr>
            </w:pPr>
            <w:r>
              <w:rPr>
                <w:rFonts w:ascii="Times New Roman" w:hAnsi="Times New Roman"/>
                <w:szCs w:val="18"/>
              </w:rPr>
              <w:t>H: {2, 3, 4, 5}</w:t>
            </w:r>
            <w:r>
              <w:rPr>
                <w:rFonts w:ascii="Times New Roman" w:hAnsi="Times New Roman"/>
                <w:color w:val="000000" w:themeColor="text1"/>
                <w:szCs w:val="18"/>
                <w14:textFill>
                  <w14:solidFill>
                    <w14:schemeClr w14:val="tx1"/>
                  </w14:solidFill>
                </w14:textFill>
              </w:rPr>
              <w:t xml:space="preserve"> </w:t>
            </w:r>
          </w:p>
          <w:p>
            <w:pPr>
              <w:pStyle w:val="62"/>
              <w:snapToGrid w:val="0"/>
              <w:spacing w:line="240" w:lineRule="auto"/>
              <w:rPr>
                <w:rFonts w:ascii="Times New Roman" w:hAnsi="Times New Roman"/>
                <w:szCs w:val="18"/>
              </w:rPr>
            </w:pPr>
            <w:r>
              <w:rPr>
                <w:rFonts w:ascii="Times New Roman" w:hAnsi="Times New Roman"/>
                <w:szCs w:val="18"/>
              </w:rPr>
              <w:t xml:space="preserve">  </w:t>
            </w:r>
            <w:r>
              <w:rPr>
                <w:rFonts w:ascii="Times New Roman" w:hAnsi="Times New Roman"/>
                <w:b/>
                <w:bCs/>
                <w:szCs w:val="18"/>
              </w:rPr>
              <w:t>Note1</w:t>
            </w:r>
            <w:r>
              <w:rPr>
                <w:rFonts w:ascii="Times New Roman" w:hAnsi="Times New Roman"/>
                <w:szCs w:val="18"/>
              </w:rPr>
              <w:t>: the bandwidth of each hop refers to FG 28-1</w:t>
            </w:r>
          </w:p>
          <w:p>
            <w:pPr>
              <w:pStyle w:val="62"/>
              <w:snapToGrid w:val="0"/>
              <w:spacing w:line="240" w:lineRule="auto"/>
              <w:rPr>
                <w:rFonts w:hint="eastAsia" w:ascii="Times New Roman" w:hAnsi="Times New Roman"/>
                <w:szCs w:val="18"/>
              </w:rPr>
            </w:pPr>
          </w:p>
          <w:p>
            <w:pPr>
              <w:pStyle w:val="62"/>
              <w:snapToGrid w:val="0"/>
              <w:spacing w:line="240" w:lineRule="auto"/>
              <w:rPr>
                <w:rFonts w:ascii="Times New Roman" w:hAnsi="Times New Roman"/>
                <w:szCs w:val="18"/>
              </w:rPr>
            </w:pPr>
            <w:r>
              <w:rPr>
                <w:rFonts w:hint="eastAsia" w:ascii="Times New Roman" w:hAnsi="Times New Roman"/>
                <w:szCs w:val="18"/>
              </w:rPr>
              <w:t>2</w:t>
            </w:r>
            <w:r>
              <w:rPr>
                <w:rFonts w:ascii="Times New Roman" w:hAnsi="Times New Roman"/>
                <w:szCs w:val="18"/>
              </w:rPr>
              <w:t>. Overlapping PRB(s) between adjacent hops or a capability on the maximum equivalent bandwidth after combing all hops</w:t>
            </w:r>
          </w:p>
          <w:p>
            <w:pPr>
              <w:pStyle w:val="62"/>
              <w:snapToGrid w:val="0"/>
              <w:spacing w:line="240" w:lineRule="auto"/>
              <w:rPr>
                <w:rFonts w:ascii="Times New Roman" w:hAnsi="Times New Roman"/>
                <w:szCs w:val="18"/>
              </w:rPr>
            </w:pPr>
          </w:p>
          <w:p>
            <w:pPr>
              <w:pStyle w:val="62"/>
              <w:snapToGrid w:val="0"/>
              <w:spacing w:line="240" w:lineRule="auto"/>
              <w:rPr>
                <w:rFonts w:ascii="Times New Roman" w:hAnsi="Times New Roman"/>
                <w:szCs w:val="18"/>
              </w:rPr>
            </w:pPr>
            <w:r>
              <w:rPr>
                <w:rFonts w:ascii="Times New Roman" w:hAnsi="Times New Roman"/>
                <w:szCs w:val="18"/>
              </w:rPr>
              <w:t>3. Duration of DL PRS symbols N</w:t>
            </w:r>
            <w:r>
              <w:rPr>
                <w:rFonts w:ascii="Times New Roman" w:hAnsi="Times New Roman"/>
                <w:szCs w:val="18"/>
                <w:vertAlign w:val="subscript"/>
              </w:rPr>
              <w:t>FH</w:t>
            </w:r>
            <w:r>
              <w:rPr>
                <w:rFonts w:ascii="Times New Roman" w:hAnsi="Times New Roman"/>
                <w:szCs w:val="18"/>
              </w:rPr>
              <w:t xml:space="preserve"> in units of ms a UE can process every T</w:t>
            </w:r>
            <w:r>
              <w:rPr>
                <w:rFonts w:ascii="Times New Roman" w:hAnsi="Times New Roman"/>
                <w:szCs w:val="18"/>
                <w:vertAlign w:val="subscript"/>
              </w:rPr>
              <w:t>FH</w:t>
            </w:r>
            <w:r>
              <w:rPr>
                <w:rFonts w:ascii="Times New Roman" w:hAnsi="Times New Roman"/>
                <w:szCs w:val="18"/>
              </w:rPr>
              <w:t xml:space="preserve"> ms assuming maximum DL PRS bandwidth after F PFLs aggregation in MHz, which is supported and reported by UE.</w:t>
            </w:r>
          </w:p>
          <w:p>
            <w:pPr>
              <w:pStyle w:val="62"/>
              <w:snapToGrid w:val="0"/>
              <w:spacing w:line="240" w:lineRule="auto"/>
              <w:rPr>
                <w:rFonts w:ascii="Times New Roman" w:hAnsi="Times New Roman"/>
                <w:szCs w:val="18"/>
              </w:rPr>
            </w:pPr>
          </w:p>
          <w:p>
            <w:pPr>
              <w:pStyle w:val="62"/>
              <w:snapToGrid w:val="0"/>
              <w:spacing w:line="240" w:lineRule="auto"/>
              <w:ind w:left="220" w:leftChars="100"/>
              <w:rPr>
                <w:rFonts w:ascii="Times New Roman" w:hAnsi="Times New Roman"/>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trike/>
                <w:color w:val="000000" w:themeColor="text1"/>
                <w:szCs w:val="18"/>
                <w:highlight w:val="yellow"/>
                <w14:textFill>
                  <w14:solidFill>
                    <w14:schemeClr w14:val="tx1"/>
                  </w14:solidFill>
                </w14:textFill>
              </w:rPr>
            </w:pPr>
            <w:r>
              <w:rPr>
                <w:rFonts w:ascii="Times New Roman" w:hAnsi="Times New Roman"/>
                <w:color w:val="000000" w:themeColor="text1"/>
                <w:szCs w:val="18"/>
                <w14:textFill>
                  <w14:solidFill>
                    <w14:schemeClr w14:val="tx1"/>
                  </w14:solidFill>
                </w14:textFill>
              </w:rPr>
              <w:t>28-1</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szCs w:val="18"/>
              </w:rPr>
              <w:t>DL PRS processing capability of RedCap UE for frequency hopping in MG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sz w:val="18"/>
                <w:szCs w:val="18"/>
              </w:rPr>
            </w:pPr>
            <w:r>
              <w:rPr>
                <w:rFonts w:ascii="Times New Roman" w:hAnsi="Times New Roman"/>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41-5-2</w:t>
            </w:r>
          </w:p>
        </w:tc>
        <w:tc>
          <w:tcPr>
            <w:tcW w:w="169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zCs w:val="18"/>
              </w:rPr>
            </w:pPr>
            <w:r>
              <w:rPr>
                <w:rFonts w:ascii="Times New Roman" w:hAnsi="Times New Roman"/>
                <w:szCs w:val="18"/>
              </w:rPr>
              <w:t>RedCap UE SRS frequency hopping</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szCs w:val="18"/>
              </w:rPr>
            </w:pPr>
            <w:r>
              <w:rPr>
                <w:rFonts w:ascii="Times New Roman" w:hAnsi="Times New Roman"/>
                <w:szCs w:val="18"/>
              </w:rPr>
              <w:t>1. Maximum number H of hops for SRS Tx frequency hopping, which is supported and reported by UE.</w:t>
            </w:r>
          </w:p>
          <w:p>
            <w:pPr>
              <w:pStyle w:val="62"/>
              <w:snapToGrid w:val="0"/>
              <w:spacing w:line="240" w:lineRule="auto"/>
              <w:ind w:left="599" w:hanging="316"/>
              <w:rPr>
                <w:rFonts w:ascii="Times New Roman" w:hAnsi="Times New Roman"/>
                <w:szCs w:val="18"/>
              </w:rPr>
            </w:pPr>
            <w:r>
              <w:rPr>
                <w:rFonts w:ascii="Times New Roman" w:hAnsi="Times New Roman"/>
                <w:szCs w:val="18"/>
              </w:rPr>
              <w:t>H: {2, 3, 4, 5}</w:t>
            </w:r>
            <w:r>
              <w:rPr>
                <w:rFonts w:ascii="Times New Roman" w:hAnsi="Times New Roman"/>
                <w:color w:val="000000" w:themeColor="text1"/>
                <w:szCs w:val="18"/>
                <w14:textFill>
                  <w14:solidFill>
                    <w14:schemeClr w14:val="tx1"/>
                  </w14:solidFill>
                </w14:textFill>
              </w:rPr>
              <w:t xml:space="preserve"> </w:t>
            </w:r>
          </w:p>
          <w:p>
            <w:pPr>
              <w:pStyle w:val="62"/>
              <w:snapToGrid w:val="0"/>
              <w:spacing w:line="240" w:lineRule="auto"/>
              <w:rPr>
                <w:rFonts w:ascii="Times New Roman" w:hAnsi="Times New Roman"/>
                <w:szCs w:val="18"/>
              </w:rPr>
            </w:pPr>
            <w:r>
              <w:rPr>
                <w:rFonts w:ascii="Times New Roman" w:hAnsi="Times New Roman"/>
                <w:szCs w:val="18"/>
              </w:rPr>
              <w:t xml:space="preserve">  </w:t>
            </w:r>
            <w:r>
              <w:rPr>
                <w:rFonts w:ascii="Times New Roman" w:hAnsi="Times New Roman"/>
                <w:b/>
                <w:bCs/>
                <w:szCs w:val="18"/>
              </w:rPr>
              <w:t>Note1</w:t>
            </w:r>
            <w:r>
              <w:rPr>
                <w:rFonts w:ascii="Times New Roman" w:hAnsi="Times New Roman"/>
                <w:szCs w:val="18"/>
              </w:rPr>
              <w:t>: the bandwidth of each hop refers to FG 28-1</w:t>
            </w:r>
          </w:p>
          <w:p>
            <w:pPr>
              <w:pStyle w:val="62"/>
              <w:snapToGrid w:val="0"/>
              <w:spacing w:line="240" w:lineRule="auto"/>
              <w:rPr>
                <w:rFonts w:hint="eastAsia" w:ascii="Times New Roman" w:hAnsi="Times New Roman"/>
                <w:szCs w:val="18"/>
              </w:rPr>
            </w:pPr>
          </w:p>
          <w:p>
            <w:pPr>
              <w:pStyle w:val="62"/>
              <w:snapToGrid w:val="0"/>
              <w:spacing w:line="240" w:lineRule="auto"/>
              <w:rPr>
                <w:rFonts w:ascii="Times New Roman" w:hAnsi="Times New Roman"/>
                <w:szCs w:val="18"/>
              </w:rPr>
            </w:pPr>
            <w:r>
              <w:rPr>
                <w:rFonts w:hint="eastAsia" w:ascii="Times New Roman" w:hAnsi="Times New Roman"/>
                <w:szCs w:val="18"/>
              </w:rPr>
              <w:t>2</w:t>
            </w:r>
            <w:r>
              <w:rPr>
                <w:rFonts w:ascii="Times New Roman" w:hAnsi="Times New Roman"/>
                <w:szCs w:val="18"/>
              </w:rPr>
              <w:t>. Overlapping PRB(s) between adjacent hops or a capability on the maximum equivalent bandwidth after combing all hops</w:t>
            </w:r>
          </w:p>
          <w:p>
            <w:pPr>
              <w:pStyle w:val="62"/>
              <w:adjustRightInd w:val="0"/>
              <w:snapToGrid w:val="0"/>
              <w:spacing w:line="240" w:lineRule="auto"/>
              <w:rPr>
                <w:rFonts w:ascii="Times New Roman" w:hAnsi="Times New Roman"/>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28-1</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RedCap UE SRS frequency hopping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bl>
    <w:p>
      <w:pPr>
        <w:snapToGrid w:val="0"/>
        <w:spacing w:after="180" w:afterLines="50" w:line="240" w:lineRule="auto"/>
        <w:rPr>
          <w:rFonts w:ascii="Times New Roman" w:hAnsi="Times New Roman"/>
          <w:sz w:val="20"/>
        </w:rPr>
      </w:pPr>
    </w:p>
    <w:p>
      <w:pPr>
        <w:snapToGrid w:val="0"/>
        <w:spacing w:after="180" w:afterLines="50" w:line="240" w:lineRule="auto"/>
        <w:rPr>
          <w:rFonts w:hint="eastAsia" w:ascii="Times New Roman" w:hAnsi="Times New Roman"/>
          <w:sz w:val="20"/>
        </w:rPr>
      </w:pP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Reference </w:t>
      </w:r>
    </w:p>
    <w:p>
      <w:pPr>
        <w:numPr>
          <w:ilvl w:val="0"/>
          <w:numId w:val="29"/>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Draft Report of 3GPP TSG RAN WG1 #112bis-e v0.1.0</w:t>
      </w:r>
      <w:r>
        <w:rPr>
          <w:rFonts w:hint="eastAsia" w:ascii="Times New Roman" w:hAnsi="Times New Roman" w:eastAsia="宋体"/>
          <w:sz w:val="20"/>
          <w:szCs w:val="20"/>
        </w:rPr>
        <w:t xml:space="preserve"> </w:t>
      </w:r>
      <w:r>
        <w:rPr>
          <w:rFonts w:ascii="Times New Roman" w:hAnsi="Times New Roman" w:eastAsia="宋体"/>
          <w:sz w:val="20"/>
          <w:szCs w:val="20"/>
        </w:rPr>
        <w:t>(Online, 17th - 26th April 2023).</w:t>
      </w:r>
    </w:p>
    <w:p>
      <w:pPr>
        <w:autoSpaceDE w:val="0"/>
        <w:autoSpaceDN w:val="0"/>
        <w:adjustRightInd w:val="0"/>
        <w:snapToGrid w:val="0"/>
        <w:spacing w:after="0" w:line="240" w:lineRule="auto"/>
        <w:jc w:val="both"/>
        <w:rPr>
          <w:rFonts w:ascii="Times New Roman" w:hAnsi="Times New Roman" w:eastAsia="宋体"/>
          <w:sz w:val="20"/>
          <w:szCs w:val="20"/>
        </w:rPr>
      </w:pPr>
    </w:p>
    <w:sectPr>
      <w:type w:val="continuous"/>
      <w:pgSz w:w="23811" w:h="16838" w:orient="landscape"/>
      <w:pgMar w:top="1134" w:right="850" w:bottom="1134" w:left="567" w:header="720" w:footer="720" w:gutter="0"/>
      <w:cols w:space="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3"/>
          <w:jc w:val="center"/>
        </w:pPr>
        <w:r>
          <w:fldChar w:fldCharType="begin"/>
        </w:r>
        <w:r>
          <w:instrText xml:space="preserve"> PAGE   \* MERGEFORMAT </w:instrText>
        </w:r>
        <w:r>
          <w:fldChar w:fldCharType="separate"/>
        </w:r>
        <w:r>
          <w:rPr>
            <w:lang w:val="zh-CN"/>
          </w:rPr>
          <w:t>14</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DEBE1"/>
    <w:multiLevelType w:val="singleLevel"/>
    <w:tmpl w:val="805DEBE1"/>
    <w:lvl w:ilvl="0" w:tentative="0">
      <w:start w:val="1"/>
      <w:numFmt w:val="decimal"/>
      <w:suff w:val="space"/>
      <w:lvlText w:val="%1."/>
      <w:lvlJc w:val="left"/>
    </w:lvl>
  </w:abstractNum>
  <w:abstractNum w:abstractNumId="1">
    <w:nsid w:val="8239668C"/>
    <w:multiLevelType w:val="singleLevel"/>
    <w:tmpl w:val="8239668C"/>
    <w:lvl w:ilvl="0" w:tentative="0">
      <w:start w:val="1"/>
      <w:numFmt w:val="lowerLetter"/>
      <w:suff w:val="space"/>
      <w:lvlText w:val="%1)"/>
      <w:lvlJc w:val="left"/>
    </w:lvl>
  </w:abstractNum>
  <w:abstractNum w:abstractNumId="2">
    <w:nsid w:val="98C0DCEB"/>
    <w:multiLevelType w:val="singleLevel"/>
    <w:tmpl w:val="98C0DCEB"/>
    <w:lvl w:ilvl="0" w:tentative="0">
      <w:start w:val="1"/>
      <w:numFmt w:val="decimal"/>
      <w:suff w:val="space"/>
      <w:lvlText w:val="[%1]"/>
      <w:lvlJc w:val="left"/>
    </w:lvl>
  </w:abstractNum>
  <w:abstractNum w:abstractNumId="3">
    <w:nsid w:val="AAEBD866"/>
    <w:multiLevelType w:val="multilevel"/>
    <w:tmpl w:val="AAEBD86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lvlText w:val="%1.%2.%3."/>
      <w:lvlJc w:val="left"/>
      <w:pPr>
        <w:ind w:left="720" w:hanging="720"/>
      </w:pPr>
      <w:rPr>
        <w:rFonts w:hint="default" w:ascii="Times New Roman" w:hAnsi="Times New Roman" w:eastAsia="宋体" w:cs="Times New Roman"/>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ADD855CE"/>
    <w:multiLevelType w:val="singleLevel"/>
    <w:tmpl w:val="ADD855CE"/>
    <w:lvl w:ilvl="0" w:tentative="0">
      <w:start w:val="1"/>
      <w:numFmt w:val="lowerLetter"/>
      <w:suff w:val="space"/>
      <w:lvlText w:val="%1)"/>
      <w:lvlJc w:val="left"/>
    </w:lvl>
  </w:abstractNum>
  <w:abstractNum w:abstractNumId="6">
    <w:nsid w:val="C32BD1BC"/>
    <w:multiLevelType w:val="singleLevel"/>
    <w:tmpl w:val="C32BD1BC"/>
    <w:lvl w:ilvl="0" w:tentative="0">
      <w:start w:val="1"/>
      <w:numFmt w:val="lowerLetter"/>
      <w:suff w:val="space"/>
      <w:lvlText w:val="%1)"/>
      <w:lvlJc w:val="left"/>
    </w:lvl>
  </w:abstractNum>
  <w:abstractNum w:abstractNumId="7">
    <w:nsid w:val="C69CF89F"/>
    <w:multiLevelType w:val="singleLevel"/>
    <w:tmpl w:val="C69CF89F"/>
    <w:lvl w:ilvl="0" w:tentative="0">
      <w:start w:val="1"/>
      <w:numFmt w:val="lowerLetter"/>
      <w:suff w:val="space"/>
      <w:lvlText w:val="%1)"/>
      <w:lvlJc w:val="left"/>
    </w:lvl>
  </w:abstractNum>
  <w:abstractNum w:abstractNumId="8">
    <w:nsid w:val="CA5A2773"/>
    <w:multiLevelType w:val="singleLevel"/>
    <w:tmpl w:val="CA5A2773"/>
    <w:lvl w:ilvl="0" w:tentative="0">
      <w:start w:val="1"/>
      <w:numFmt w:val="decimal"/>
      <w:suff w:val="space"/>
      <w:lvlText w:val="%1."/>
      <w:lvlJc w:val="left"/>
    </w:lvl>
  </w:abstractNum>
  <w:abstractNum w:abstractNumId="9">
    <w:nsid w:val="F0FA918B"/>
    <w:multiLevelType w:val="singleLevel"/>
    <w:tmpl w:val="F0FA918B"/>
    <w:lvl w:ilvl="0" w:tentative="0">
      <w:start w:val="1"/>
      <w:numFmt w:val="decimal"/>
      <w:suff w:val="space"/>
      <w:lvlText w:val="%1."/>
      <w:lvlJc w:val="left"/>
    </w:lvl>
  </w:abstractNum>
  <w:abstractNum w:abstractNumId="10">
    <w:nsid w:val="F21A5980"/>
    <w:multiLevelType w:val="singleLevel"/>
    <w:tmpl w:val="F21A5980"/>
    <w:lvl w:ilvl="0" w:tentative="0">
      <w:start w:val="1"/>
      <w:numFmt w:val="decimal"/>
      <w:suff w:val="space"/>
      <w:lvlText w:val="%1."/>
      <w:lvlJc w:val="left"/>
    </w:lvl>
  </w:abstractNum>
  <w:abstractNum w:abstractNumId="11">
    <w:nsid w:val="0EBF25DE"/>
    <w:multiLevelType w:val="singleLevel"/>
    <w:tmpl w:val="0EBF25DE"/>
    <w:lvl w:ilvl="0" w:tentative="0">
      <w:start w:val="1"/>
      <w:numFmt w:val="lowerLetter"/>
      <w:suff w:val="space"/>
      <w:lvlText w:val="%1)"/>
      <w:lvlJc w:val="left"/>
    </w:lvl>
  </w:abstractNum>
  <w:abstractNum w:abstractNumId="12">
    <w:nsid w:val="17E4391E"/>
    <w:multiLevelType w:val="singleLevel"/>
    <w:tmpl w:val="17E4391E"/>
    <w:lvl w:ilvl="0" w:tentative="0">
      <w:start w:val="1"/>
      <w:numFmt w:val="lowerLetter"/>
      <w:suff w:val="space"/>
      <w:lvlText w:val="%1)"/>
      <w:lvlJc w:val="left"/>
    </w:lvl>
  </w:abstractNum>
  <w:abstractNum w:abstractNumId="13">
    <w:nsid w:val="327C0146"/>
    <w:multiLevelType w:val="multilevel"/>
    <w:tmpl w:val="327C014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3AE93E07"/>
    <w:multiLevelType w:val="multilevel"/>
    <w:tmpl w:val="3AE93E0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3BDB0A35"/>
    <w:multiLevelType w:val="multilevel"/>
    <w:tmpl w:val="3BDB0A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3EE99D1E"/>
    <w:multiLevelType w:val="singleLevel"/>
    <w:tmpl w:val="3EE99D1E"/>
    <w:lvl w:ilvl="0" w:tentative="0">
      <w:start w:val="1"/>
      <w:numFmt w:val="decimal"/>
      <w:suff w:val="space"/>
      <w:lvlText w:val="%1."/>
      <w:lvlJc w:val="left"/>
    </w:lvl>
  </w:abstractNum>
  <w:abstractNum w:abstractNumId="17">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8">
    <w:nsid w:val="426B4A38"/>
    <w:multiLevelType w:val="multilevel"/>
    <w:tmpl w:val="426B4A38"/>
    <w:lvl w:ilvl="0" w:tentative="0">
      <w:start w:val="1"/>
      <w:numFmt w:val="decimalZero"/>
      <w:pStyle w:val="112"/>
      <w:lvlText w:val="[00%1]"/>
      <w:lvlJc w:val="left"/>
      <w:pPr>
        <w:tabs>
          <w:tab w:val="left" w:pos="1080"/>
        </w:tabs>
        <w:ind w:left="0" w:firstLine="0"/>
      </w:pPr>
      <w:rPr>
        <w:rFonts w:hint="default"/>
        <w:b/>
        <w:i w:val="0"/>
        <w:color w:val="auto"/>
        <w:sz w:val="24"/>
        <w:szCs w:val="24"/>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9">
    <w:nsid w:val="42917A8E"/>
    <w:multiLevelType w:val="multilevel"/>
    <w:tmpl w:val="42917A8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542E414F"/>
    <w:multiLevelType w:val="multilevel"/>
    <w:tmpl w:val="542E414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54D65E4D"/>
    <w:multiLevelType w:val="singleLevel"/>
    <w:tmpl w:val="54D65E4D"/>
    <w:lvl w:ilvl="0" w:tentative="0">
      <w:start w:val="1"/>
      <w:numFmt w:val="decimal"/>
      <w:suff w:val="space"/>
      <w:lvlText w:val="%1."/>
      <w:lvlJc w:val="left"/>
    </w:lvl>
  </w:abstractNum>
  <w:abstractNum w:abstractNumId="22">
    <w:nsid w:val="55446C19"/>
    <w:multiLevelType w:val="multilevel"/>
    <w:tmpl w:val="55446C1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555B4AB8"/>
    <w:multiLevelType w:val="multilevel"/>
    <w:tmpl w:val="555B4AB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57E2C113"/>
    <w:multiLevelType w:val="singleLevel"/>
    <w:tmpl w:val="57E2C113"/>
    <w:lvl w:ilvl="0" w:tentative="0">
      <w:start w:val="1"/>
      <w:numFmt w:val="decimal"/>
      <w:suff w:val="space"/>
      <w:lvlText w:val="%1."/>
      <w:lvlJc w:val="left"/>
    </w:lvl>
  </w:abstractNum>
  <w:abstractNum w:abstractNumId="25">
    <w:nsid w:val="5DFE2E3F"/>
    <w:multiLevelType w:val="multilevel"/>
    <w:tmpl w:val="5DFE2E3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5EC85F08"/>
    <w:multiLevelType w:val="multilevel"/>
    <w:tmpl w:val="5EC85F0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784E2B49"/>
    <w:multiLevelType w:val="multilevel"/>
    <w:tmpl w:val="784E2B4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7B5F3673"/>
    <w:multiLevelType w:val="multilevel"/>
    <w:tmpl w:val="7B5F36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7"/>
  </w:num>
  <w:num w:numId="3">
    <w:abstractNumId w:val="18"/>
  </w:num>
  <w:num w:numId="4">
    <w:abstractNumId w:val="26"/>
  </w:num>
  <w:num w:numId="5">
    <w:abstractNumId w:val="25"/>
  </w:num>
  <w:num w:numId="6">
    <w:abstractNumId w:val="23"/>
  </w:num>
  <w:num w:numId="7">
    <w:abstractNumId w:val="20"/>
  </w:num>
  <w:num w:numId="8">
    <w:abstractNumId w:val="19"/>
  </w:num>
  <w:num w:numId="9">
    <w:abstractNumId w:val="15"/>
  </w:num>
  <w:num w:numId="10">
    <w:abstractNumId w:val="22"/>
  </w:num>
  <w:num w:numId="11">
    <w:abstractNumId w:val="13"/>
  </w:num>
  <w:num w:numId="12">
    <w:abstractNumId w:val="28"/>
  </w:num>
  <w:num w:numId="13">
    <w:abstractNumId w:val="3"/>
  </w:num>
  <w:num w:numId="14">
    <w:abstractNumId w:val="10"/>
  </w:num>
  <w:num w:numId="15">
    <w:abstractNumId w:val="5"/>
  </w:num>
  <w:num w:numId="16">
    <w:abstractNumId w:val="9"/>
  </w:num>
  <w:num w:numId="17">
    <w:abstractNumId w:val="6"/>
  </w:num>
  <w:num w:numId="18">
    <w:abstractNumId w:val="16"/>
  </w:num>
  <w:num w:numId="19">
    <w:abstractNumId w:val="12"/>
  </w:num>
  <w:num w:numId="20">
    <w:abstractNumId w:val="7"/>
  </w:num>
  <w:num w:numId="21">
    <w:abstractNumId w:val="0"/>
  </w:num>
  <w:num w:numId="22">
    <w:abstractNumId w:val="1"/>
  </w:num>
  <w:num w:numId="23">
    <w:abstractNumId w:val="11"/>
  </w:num>
  <w:num w:numId="24">
    <w:abstractNumId w:val="21"/>
  </w:num>
  <w:num w:numId="25">
    <w:abstractNumId w:val="24"/>
  </w:num>
  <w:num w:numId="26">
    <w:abstractNumId w:val="8"/>
  </w:num>
  <w:num w:numId="27">
    <w:abstractNumId w:val="14"/>
  </w:num>
  <w:num w:numId="28">
    <w:abstractNumId w:val="27"/>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79E"/>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5CC"/>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0C46"/>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879"/>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A6E"/>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D42"/>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A2B"/>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7C2"/>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B77"/>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6A4"/>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0FC"/>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3B"/>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5D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3A5"/>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79"/>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02"/>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832"/>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5EA"/>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055"/>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306"/>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533"/>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927"/>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A75"/>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25B"/>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2879"/>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5F72"/>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4E3"/>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15"/>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1EEF"/>
    <w:rsid w:val="0066208C"/>
    <w:rsid w:val="006628C5"/>
    <w:rsid w:val="0066290D"/>
    <w:rsid w:val="00662F0A"/>
    <w:rsid w:val="00663309"/>
    <w:rsid w:val="0066340C"/>
    <w:rsid w:val="0066369F"/>
    <w:rsid w:val="00663852"/>
    <w:rsid w:val="00663958"/>
    <w:rsid w:val="00664045"/>
    <w:rsid w:val="00664125"/>
    <w:rsid w:val="00664173"/>
    <w:rsid w:val="00664DE7"/>
    <w:rsid w:val="00664E3B"/>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72"/>
    <w:rsid w:val="006772ED"/>
    <w:rsid w:val="00677824"/>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9E3"/>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4F9"/>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2F8"/>
    <w:rsid w:val="006B63C1"/>
    <w:rsid w:val="006B64F8"/>
    <w:rsid w:val="006B6549"/>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17"/>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0E"/>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88"/>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D2"/>
    <w:rsid w:val="00766FB5"/>
    <w:rsid w:val="007672DC"/>
    <w:rsid w:val="00767463"/>
    <w:rsid w:val="007674FD"/>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8A2"/>
    <w:rsid w:val="007D6A31"/>
    <w:rsid w:val="007D6A33"/>
    <w:rsid w:val="007D6B45"/>
    <w:rsid w:val="007D757A"/>
    <w:rsid w:val="007D7615"/>
    <w:rsid w:val="007D7778"/>
    <w:rsid w:val="007D7B7C"/>
    <w:rsid w:val="007D7E03"/>
    <w:rsid w:val="007E0045"/>
    <w:rsid w:val="007E02D5"/>
    <w:rsid w:val="007E066A"/>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71"/>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2EBD"/>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D1"/>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C10"/>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C45"/>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05B"/>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0A"/>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D5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A6A"/>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5E"/>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96F"/>
    <w:rsid w:val="00970BC2"/>
    <w:rsid w:val="00970E23"/>
    <w:rsid w:val="00970E45"/>
    <w:rsid w:val="009710DC"/>
    <w:rsid w:val="00971184"/>
    <w:rsid w:val="009711B2"/>
    <w:rsid w:val="009711B4"/>
    <w:rsid w:val="009714DF"/>
    <w:rsid w:val="009716C6"/>
    <w:rsid w:val="009716DC"/>
    <w:rsid w:val="0097172B"/>
    <w:rsid w:val="00971AB9"/>
    <w:rsid w:val="00971DEF"/>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209D"/>
    <w:rsid w:val="009A2116"/>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A5"/>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6980"/>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467"/>
    <w:rsid w:val="00A505F5"/>
    <w:rsid w:val="00A50787"/>
    <w:rsid w:val="00A507BD"/>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7E3"/>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0DE"/>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CA7"/>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0B9"/>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78C"/>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66D"/>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BAE"/>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0DC"/>
    <w:rsid w:val="00C14200"/>
    <w:rsid w:val="00C14338"/>
    <w:rsid w:val="00C144B8"/>
    <w:rsid w:val="00C146B8"/>
    <w:rsid w:val="00C148A0"/>
    <w:rsid w:val="00C14990"/>
    <w:rsid w:val="00C14D3C"/>
    <w:rsid w:val="00C14E6F"/>
    <w:rsid w:val="00C151E6"/>
    <w:rsid w:val="00C1542D"/>
    <w:rsid w:val="00C158DF"/>
    <w:rsid w:val="00C15BB3"/>
    <w:rsid w:val="00C15D10"/>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6E"/>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8AC"/>
    <w:rsid w:val="00C539A5"/>
    <w:rsid w:val="00C53A47"/>
    <w:rsid w:val="00C53BC3"/>
    <w:rsid w:val="00C544C8"/>
    <w:rsid w:val="00C544F1"/>
    <w:rsid w:val="00C545CC"/>
    <w:rsid w:val="00C54750"/>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5E1"/>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22B4"/>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EE"/>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3E"/>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6EFD"/>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B52"/>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3AF"/>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7A"/>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A3A"/>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5B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57CB"/>
    <w:rsid w:val="012E3D59"/>
    <w:rsid w:val="012E78A0"/>
    <w:rsid w:val="013339E8"/>
    <w:rsid w:val="013340AD"/>
    <w:rsid w:val="01384A19"/>
    <w:rsid w:val="013A5D59"/>
    <w:rsid w:val="013C501C"/>
    <w:rsid w:val="013D4FA6"/>
    <w:rsid w:val="01411326"/>
    <w:rsid w:val="01464F0E"/>
    <w:rsid w:val="015602B3"/>
    <w:rsid w:val="01590814"/>
    <w:rsid w:val="01592BEE"/>
    <w:rsid w:val="015D1800"/>
    <w:rsid w:val="01657634"/>
    <w:rsid w:val="01697CD6"/>
    <w:rsid w:val="016B6DD7"/>
    <w:rsid w:val="01701670"/>
    <w:rsid w:val="0171562A"/>
    <w:rsid w:val="01723DEC"/>
    <w:rsid w:val="01742CDF"/>
    <w:rsid w:val="017729EB"/>
    <w:rsid w:val="0179061D"/>
    <w:rsid w:val="01795231"/>
    <w:rsid w:val="017B5EC6"/>
    <w:rsid w:val="017F6731"/>
    <w:rsid w:val="018A4DA5"/>
    <w:rsid w:val="018A7357"/>
    <w:rsid w:val="019A1560"/>
    <w:rsid w:val="019B60BC"/>
    <w:rsid w:val="019D11D6"/>
    <w:rsid w:val="01A02104"/>
    <w:rsid w:val="01A761C0"/>
    <w:rsid w:val="01A96AA0"/>
    <w:rsid w:val="01B60118"/>
    <w:rsid w:val="01B91B37"/>
    <w:rsid w:val="01BD683B"/>
    <w:rsid w:val="01C41828"/>
    <w:rsid w:val="01C87EC5"/>
    <w:rsid w:val="01C96560"/>
    <w:rsid w:val="01C97249"/>
    <w:rsid w:val="01CE7700"/>
    <w:rsid w:val="01D125C6"/>
    <w:rsid w:val="01D775BA"/>
    <w:rsid w:val="01D91D17"/>
    <w:rsid w:val="01DC460D"/>
    <w:rsid w:val="01DF6E38"/>
    <w:rsid w:val="01E31EAE"/>
    <w:rsid w:val="01E46767"/>
    <w:rsid w:val="01E70B45"/>
    <w:rsid w:val="01E7337E"/>
    <w:rsid w:val="01EB6075"/>
    <w:rsid w:val="01ED0BA3"/>
    <w:rsid w:val="01F8063E"/>
    <w:rsid w:val="01F91369"/>
    <w:rsid w:val="01FD0A52"/>
    <w:rsid w:val="02043663"/>
    <w:rsid w:val="02070D9C"/>
    <w:rsid w:val="020A55DB"/>
    <w:rsid w:val="020A7FD5"/>
    <w:rsid w:val="020B3BFF"/>
    <w:rsid w:val="02112ACB"/>
    <w:rsid w:val="021A2B4F"/>
    <w:rsid w:val="021F5861"/>
    <w:rsid w:val="0224389C"/>
    <w:rsid w:val="022442CF"/>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A545F"/>
    <w:rsid w:val="031F008D"/>
    <w:rsid w:val="032A509F"/>
    <w:rsid w:val="03327E4E"/>
    <w:rsid w:val="03334938"/>
    <w:rsid w:val="0333596C"/>
    <w:rsid w:val="03375E7B"/>
    <w:rsid w:val="033912FE"/>
    <w:rsid w:val="03394321"/>
    <w:rsid w:val="03406AD4"/>
    <w:rsid w:val="034410CA"/>
    <w:rsid w:val="034938C7"/>
    <w:rsid w:val="034E4F0F"/>
    <w:rsid w:val="034F290D"/>
    <w:rsid w:val="0351015F"/>
    <w:rsid w:val="03513AB2"/>
    <w:rsid w:val="035279F8"/>
    <w:rsid w:val="03535FAB"/>
    <w:rsid w:val="035A6727"/>
    <w:rsid w:val="03602F97"/>
    <w:rsid w:val="0360437B"/>
    <w:rsid w:val="037C715A"/>
    <w:rsid w:val="03826E5C"/>
    <w:rsid w:val="03892991"/>
    <w:rsid w:val="038C02EB"/>
    <w:rsid w:val="038C6EF9"/>
    <w:rsid w:val="038E2E18"/>
    <w:rsid w:val="038F1DC9"/>
    <w:rsid w:val="03944A19"/>
    <w:rsid w:val="039545AE"/>
    <w:rsid w:val="03995C8A"/>
    <w:rsid w:val="03A4198E"/>
    <w:rsid w:val="03AD0569"/>
    <w:rsid w:val="03AF5D06"/>
    <w:rsid w:val="03B84733"/>
    <w:rsid w:val="03BA4249"/>
    <w:rsid w:val="03C74561"/>
    <w:rsid w:val="03CE5373"/>
    <w:rsid w:val="03D11A1D"/>
    <w:rsid w:val="03D61EA0"/>
    <w:rsid w:val="03D974C6"/>
    <w:rsid w:val="03DC24B8"/>
    <w:rsid w:val="03E54BD6"/>
    <w:rsid w:val="03E73A64"/>
    <w:rsid w:val="03E82126"/>
    <w:rsid w:val="03F63AEF"/>
    <w:rsid w:val="040123FD"/>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67923"/>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C7074"/>
    <w:rsid w:val="04F01589"/>
    <w:rsid w:val="04F4171E"/>
    <w:rsid w:val="04F6701A"/>
    <w:rsid w:val="04F8221A"/>
    <w:rsid w:val="04FC5709"/>
    <w:rsid w:val="050035D1"/>
    <w:rsid w:val="05050CAD"/>
    <w:rsid w:val="051B5E2D"/>
    <w:rsid w:val="051D7898"/>
    <w:rsid w:val="0520754F"/>
    <w:rsid w:val="05211489"/>
    <w:rsid w:val="05230405"/>
    <w:rsid w:val="052527DF"/>
    <w:rsid w:val="0535361C"/>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E0FD7"/>
    <w:rsid w:val="058400FB"/>
    <w:rsid w:val="058D1883"/>
    <w:rsid w:val="058E331A"/>
    <w:rsid w:val="05941672"/>
    <w:rsid w:val="059B236F"/>
    <w:rsid w:val="059B32A7"/>
    <w:rsid w:val="059E3691"/>
    <w:rsid w:val="059F5D9C"/>
    <w:rsid w:val="059F66E7"/>
    <w:rsid w:val="05A558D5"/>
    <w:rsid w:val="05A94C73"/>
    <w:rsid w:val="05B03226"/>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5F83D3D"/>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72BD3"/>
    <w:rsid w:val="06373C35"/>
    <w:rsid w:val="063E7244"/>
    <w:rsid w:val="06417F17"/>
    <w:rsid w:val="06423400"/>
    <w:rsid w:val="064D07B4"/>
    <w:rsid w:val="06556880"/>
    <w:rsid w:val="06594ACC"/>
    <w:rsid w:val="065A4608"/>
    <w:rsid w:val="065D0646"/>
    <w:rsid w:val="065E23F5"/>
    <w:rsid w:val="065E61A2"/>
    <w:rsid w:val="065F0CB5"/>
    <w:rsid w:val="06655FAF"/>
    <w:rsid w:val="067E49F6"/>
    <w:rsid w:val="06817DA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6FD7630"/>
    <w:rsid w:val="070906C4"/>
    <w:rsid w:val="07114B7A"/>
    <w:rsid w:val="071278E7"/>
    <w:rsid w:val="07186D56"/>
    <w:rsid w:val="07192D2A"/>
    <w:rsid w:val="072033BE"/>
    <w:rsid w:val="0721733B"/>
    <w:rsid w:val="07251E9C"/>
    <w:rsid w:val="07263238"/>
    <w:rsid w:val="072B2FCC"/>
    <w:rsid w:val="07335A3D"/>
    <w:rsid w:val="0737326C"/>
    <w:rsid w:val="073778E7"/>
    <w:rsid w:val="073B6E32"/>
    <w:rsid w:val="073E1AAF"/>
    <w:rsid w:val="075453F9"/>
    <w:rsid w:val="07574884"/>
    <w:rsid w:val="075B498A"/>
    <w:rsid w:val="0764669C"/>
    <w:rsid w:val="07654F7A"/>
    <w:rsid w:val="07662B3F"/>
    <w:rsid w:val="076816D4"/>
    <w:rsid w:val="076E31AB"/>
    <w:rsid w:val="07767F1E"/>
    <w:rsid w:val="07781143"/>
    <w:rsid w:val="077B726A"/>
    <w:rsid w:val="077E3FD9"/>
    <w:rsid w:val="078949F9"/>
    <w:rsid w:val="07916334"/>
    <w:rsid w:val="07940742"/>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711B6"/>
    <w:rsid w:val="07C74002"/>
    <w:rsid w:val="07C864F2"/>
    <w:rsid w:val="07C87270"/>
    <w:rsid w:val="07C92F3E"/>
    <w:rsid w:val="07CA7470"/>
    <w:rsid w:val="07CB03FB"/>
    <w:rsid w:val="07D05F75"/>
    <w:rsid w:val="07D17AEF"/>
    <w:rsid w:val="07D24E2A"/>
    <w:rsid w:val="07D36112"/>
    <w:rsid w:val="07D364CA"/>
    <w:rsid w:val="07D47799"/>
    <w:rsid w:val="07D9133A"/>
    <w:rsid w:val="07DB7CB4"/>
    <w:rsid w:val="07E80F0B"/>
    <w:rsid w:val="07E85037"/>
    <w:rsid w:val="07E9446A"/>
    <w:rsid w:val="07EA3399"/>
    <w:rsid w:val="07EC19F5"/>
    <w:rsid w:val="07ED2D7D"/>
    <w:rsid w:val="07EF7092"/>
    <w:rsid w:val="07F06E95"/>
    <w:rsid w:val="07F62E9A"/>
    <w:rsid w:val="08055E44"/>
    <w:rsid w:val="0806764C"/>
    <w:rsid w:val="08085317"/>
    <w:rsid w:val="080E7972"/>
    <w:rsid w:val="080F1B16"/>
    <w:rsid w:val="080F380C"/>
    <w:rsid w:val="08100036"/>
    <w:rsid w:val="0811235A"/>
    <w:rsid w:val="08145E4A"/>
    <w:rsid w:val="08154241"/>
    <w:rsid w:val="0817007D"/>
    <w:rsid w:val="081A218A"/>
    <w:rsid w:val="081B5CC0"/>
    <w:rsid w:val="081E4875"/>
    <w:rsid w:val="08207E70"/>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5CD7"/>
    <w:rsid w:val="086B2DB5"/>
    <w:rsid w:val="086B5DA6"/>
    <w:rsid w:val="086C2511"/>
    <w:rsid w:val="08754A81"/>
    <w:rsid w:val="087B70D7"/>
    <w:rsid w:val="087B7B82"/>
    <w:rsid w:val="08820F99"/>
    <w:rsid w:val="088376E1"/>
    <w:rsid w:val="088722D5"/>
    <w:rsid w:val="089055A6"/>
    <w:rsid w:val="08980BAB"/>
    <w:rsid w:val="08A44F08"/>
    <w:rsid w:val="08A92676"/>
    <w:rsid w:val="08AA5BF5"/>
    <w:rsid w:val="08AB6847"/>
    <w:rsid w:val="08B14555"/>
    <w:rsid w:val="08C24EFE"/>
    <w:rsid w:val="08C8577F"/>
    <w:rsid w:val="08C97AC5"/>
    <w:rsid w:val="08D52288"/>
    <w:rsid w:val="08D924A9"/>
    <w:rsid w:val="08DA3FA8"/>
    <w:rsid w:val="08DF5637"/>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22FA"/>
    <w:rsid w:val="09493002"/>
    <w:rsid w:val="094C661F"/>
    <w:rsid w:val="094E0A67"/>
    <w:rsid w:val="09597734"/>
    <w:rsid w:val="09616348"/>
    <w:rsid w:val="096C4215"/>
    <w:rsid w:val="096E4B93"/>
    <w:rsid w:val="096E4D5C"/>
    <w:rsid w:val="0978669A"/>
    <w:rsid w:val="097E3F6C"/>
    <w:rsid w:val="098147F0"/>
    <w:rsid w:val="098A3FEF"/>
    <w:rsid w:val="098F49D9"/>
    <w:rsid w:val="098F5649"/>
    <w:rsid w:val="09A211FD"/>
    <w:rsid w:val="09A22CB0"/>
    <w:rsid w:val="09A33D5F"/>
    <w:rsid w:val="09B17802"/>
    <w:rsid w:val="09B64FB7"/>
    <w:rsid w:val="09BE27FD"/>
    <w:rsid w:val="09C208A7"/>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177C90"/>
    <w:rsid w:val="0A1D71DC"/>
    <w:rsid w:val="0A265C5E"/>
    <w:rsid w:val="0A3A062B"/>
    <w:rsid w:val="0A3C576A"/>
    <w:rsid w:val="0A3F2D2D"/>
    <w:rsid w:val="0A47596A"/>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E00324"/>
    <w:rsid w:val="0AE0396D"/>
    <w:rsid w:val="0AE17B6E"/>
    <w:rsid w:val="0AEA76DA"/>
    <w:rsid w:val="0AEF65B4"/>
    <w:rsid w:val="0AF25DD5"/>
    <w:rsid w:val="0AF34787"/>
    <w:rsid w:val="0AF9254A"/>
    <w:rsid w:val="0AFA7BEC"/>
    <w:rsid w:val="0AFD036E"/>
    <w:rsid w:val="0AFD1EB9"/>
    <w:rsid w:val="0AFE08A2"/>
    <w:rsid w:val="0B0952D2"/>
    <w:rsid w:val="0B0E13D6"/>
    <w:rsid w:val="0B0E3AD4"/>
    <w:rsid w:val="0B176325"/>
    <w:rsid w:val="0B1A291A"/>
    <w:rsid w:val="0B233E70"/>
    <w:rsid w:val="0B254CAA"/>
    <w:rsid w:val="0B28501B"/>
    <w:rsid w:val="0B2E0454"/>
    <w:rsid w:val="0B311E8B"/>
    <w:rsid w:val="0B316748"/>
    <w:rsid w:val="0B3440C0"/>
    <w:rsid w:val="0B361B74"/>
    <w:rsid w:val="0B3B65E0"/>
    <w:rsid w:val="0B3C005F"/>
    <w:rsid w:val="0B5527AB"/>
    <w:rsid w:val="0B594D3B"/>
    <w:rsid w:val="0B5F018C"/>
    <w:rsid w:val="0B65171B"/>
    <w:rsid w:val="0B6B272A"/>
    <w:rsid w:val="0B6C1381"/>
    <w:rsid w:val="0B6D1F77"/>
    <w:rsid w:val="0B723D3E"/>
    <w:rsid w:val="0B75278F"/>
    <w:rsid w:val="0B7957E9"/>
    <w:rsid w:val="0B7A50DB"/>
    <w:rsid w:val="0B7E624E"/>
    <w:rsid w:val="0B831B71"/>
    <w:rsid w:val="0B8A6A06"/>
    <w:rsid w:val="0B8B24DC"/>
    <w:rsid w:val="0B8B3A3B"/>
    <w:rsid w:val="0B91759B"/>
    <w:rsid w:val="0B9E3C42"/>
    <w:rsid w:val="0B9F0A7C"/>
    <w:rsid w:val="0BA10CEF"/>
    <w:rsid w:val="0BA158F6"/>
    <w:rsid w:val="0BA37183"/>
    <w:rsid w:val="0BA4716A"/>
    <w:rsid w:val="0BA82B04"/>
    <w:rsid w:val="0BA83D83"/>
    <w:rsid w:val="0BA843D5"/>
    <w:rsid w:val="0BAA4E39"/>
    <w:rsid w:val="0BAC469F"/>
    <w:rsid w:val="0BB2312B"/>
    <w:rsid w:val="0BB95B1E"/>
    <w:rsid w:val="0BBA5AE1"/>
    <w:rsid w:val="0BBC6C1A"/>
    <w:rsid w:val="0BC20CC4"/>
    <w:rsid w:val="0BC26E21"/>
    <w:rsid w:val="0BC83BB1"/>
    <w:rsid w:val="0BCB25EE"/>
    <w:rsid w:val="0BCB744C"/>
    <w:rsid w:val="0BCB7DEA"/>
    <w:rsid w:val="0BCE580E"/>
    <w:rsid w:val="0BD02FF5"/>
    <w:rsid w:val="0BD4298E"/>
    <w:rsid w:val="0BD62C0F"/>
    <w:rsid w:val="0BDA3FDB"/>
    <w:rsid w:val="0BDE6226"/>
    <w:rsid w:val="0BE60E8A"/>
    <w:rsid w:val="0BE879AE"/>
    <w:rsid w:val="0BEC24ED"/>
    <w:rsid w:val="0BED5C90"/>
    <w:rsid w:val="0BF3611F"/>
    <w:rsid w:val="0C055D2C"/>
    <w:rsid w:val="0C1232A8"/>
    <w:rsid w:val="0C1A03AD"/>
    <w:rsid w:val="0C1B0491"/>
    <w:rsid w:val="0C1B4521"/>
    <w:rsid w:val="0C214DA4"/>
    <w:rsid w:val="0C2343CE"/>
    <w:rsid w:val="0C291778"/>
    <w:rsid w:val="0C293F71"/>
    <w:rsid w:val="0C2D5B45"/>
    <w:rsid w:val="0C407935"/>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93580"/>
    <w:rsid w:val="0C9A5993"/>
    <w:rsid w:val="0CA763A8"/>
    <w:rsid w:val="0CB64B38"/>
    <w:rsid w:val="0CBC520A"/>
    <w:rsid w:val="0CBE6688"/>
    <w:rsid w:val="0CBF3DD1"/>
    <w:rsid w:val="0CC3536E"/>
    <w:rsid w:val="0CD21CB7"/>
    <w:rsid w:val="0CD24D26"/>
    <w:rsid w:val="0CDB3A09"/>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D1B45"/>
    <w:rsid w:val="0D611FC1"/>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B2F6F"/>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14E1C"/>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8116C6"/>
    <w:rsid w:val="0F8C091A"/>
    <w:rsid w:val="0F927670"/>
    <w:rsid w:val="0F977AA3"/>
    <w:rsid w:val="0F9D2A7E"/>
    <w:rsid w:val="0F9D727A"/>
    <w:rsid w:val="0FA54926"/>
    <w:rsid w:val="0FA560D5"/>
    <w:rsid w:val="0FB47B8F"/>
    <w:rsid w:val="0FB56394"/>
    <w:rsid w:val="0FBB23ED"/>
    <w:rsid w:val="0FC11A21"/>
    <w:rsid w:val="0FC37510"/>
    <w:rsid w:val="0FC407AB"/>
    <w:rsid w:val="0FC55DD4"/>
    <w:rsid w:val="0FC757C6"/>
    <w:rsid w:val="0FCB5A7E"/>
    <w:rsid w:val="0FCB5DA8"/>
    <w:rsid w:val="0FCF6F78"/>
    <w:rsid w:val="0FD00354"/>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F7BBC"/>
    <w:rsid w:val="1046747A"/>
    <w:rsid w:val="104F503B"/>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CA0927"/>
    <w:rsid w:val="10CF45B5"/>
    <w:rsid w:val="10D17447"/>
    <w:rsid w:val="10D17BA0"/>
    <w:rsid w:val="10D5728F"/>
    <w:rsid w:val="10E154F7"/>
    <w:rsid w:val="10E25191"/>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347954"/>
    <w:rsid w:val="113B4AF5"/>
    <w:rsid w:val="113D45ED"/>
    <w:rsid w:val="11463C69"/>
    <w:rsid w:val="114B2327"/>
    <w:rsid w:val="11501B50"/>
    <w:rsid w:val="11537076"/>
    <w:rsid w:val="115759CE"/>
    <w:rsid w:val="115808BE"/>
    <w:rsid w:val="115E5C78"/>
    <w:rsid w:val="1161026A"/>
    <w:rsid w:val="11621410"/>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6C23"/>
    <w:rsid w:val="11AC1DF6"/>
    <w:rsid w:val="11AC79D2"/>
    <w:rsid w:val="11AF7D17"/>
    <w:rsid w:val="11B7574C"/>
    <w:rsid w:val="11BA75D3"/>
    <w:rsid w:val="11C16227"/>
    <w:rsid w:val="11C350F3"/>
    <w:rsid w:val="11C50404"/>
    <w:rsid w:val="11C5334A"/>
    <w:rsid w:val="11C8195E"/>
    <w:rsid w:val="11C83FF7"/>
    <w:rsid w:val="11C93722"/>
    <w:rsid w:val="11CA0DD9"/>
    <w:rsid w:val="11CB4341"/>
    <w:rsid w:val="11CF5D72"/>
    <w:rsid w:val="11D617CC"/>
    <w:rsid w:val="11D76D15"/>
    <w:rsid w:val="11D8124F"/>
    <w:rsid w:val="11DB5F26"/>
    <w:rsid w:val="11DE005C"/>
    <w:rsid w:val="11DE3EEA"/>
    <w:rsid w:val="11DF104E"/>
    <w:rsid w:val="11E302B8"/>
    <w:rsid w:val="11EA0BC8"/>
    <w:rsid w:val="11F15A65"/>
    <w:rsid w:val="11F2192F"/>
    <w:rsid w:val="11F9390A"/>
    <w:rsid w:val="1201290E"/>
    <w:rsid w:val="120472A4"/>
    <w:rsid w:val="12053DDA"/>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90022"/>
    <w:rsid w:val="12990599"/>
    <w:rsid w:val="129C4B1E"/>
    <w:rsid w:val="12A13BDA"/>
    <w:rsid w:val="12A142E5"/>
    <w:rsid w:val="12A8272F"/>
    <w:rsid w:val="12AC6C59"/>
    <w:rsid w:val="12AE2A22"/>
    <w:rsid w:val="12B209E5"/>
    <w:rsid w:val="12B43E24"/>
    <w:rsid w:val="12B5070B"/>
    <w:rsid w:val="12C336A4"/>
    <w:rsid w:val="12C60939"/>
    <w:rsid w:val="12C70E6B"/>
    <w:rsid w:val="12DA12F7"/>
    <w:rsid w:val="12E0156B"/>
    <w:rsid w:val="12F00E7B"/>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5E6171"/>
    <w:rsid w:val="136330B0"/>
    <w:rsid w:val="13667089"/>
    <w:rsid w:val="137F2E1F"/>
    <w:rsid w:val="13834E54"/>
    <w:rsid w:val="13842FCA"/>
    <w:rsid w:val="138C3BB4"/>
    <w:rsid w:val="138E21E8"/>
    <w:rsid w:val="13A46633"/>
    <w:rsid w:val="13A53E20"/>
    <w:rsid w:val="13A57CC6"/>
    <w:rsid w:val="13A64D44"/>
    <w:rsid w:val="13A71807"/>
    <w:rsid w:val="13AA36AA"/>
    <w:rsid w:val="13AA72DA"/>
    <w:rsid w:val="13AE4A5F"/>
    <w:rsid w:val="13B4098E"/>
    <w:rsid w:val="13B62320"/>
    <w:rsid w:val="13C673D1"/>
    <w:rsid w:val="13C812E8"/>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65F81"/>
    <w:rsid w:val="14175A82"/>
    <w:rsid w:val="14211FBC"/>
    <w:rsid w:val="1426080A"/>
    <w:rsid w:val="14264E47"/>
    <w:rsid w:val="142E08A1"/>
    <w:rsid w:val="142E28C8"/>
    <w:rsid w:val="143533E9"/>
    <w:rsid w:val="14353A7B"/>
    <w:rsid w:val="14387013"/>
    <w:rsid w:val="143B3472"/>
    <w:rsid w:val="143D3421"/>
    <w:rsid w:val="144546F2"/>
    <w:rsid w:val="14481BF3"/>
    <w:rsid w:val="14493FB1"/>
    <w:rsid w:val="144D7A2D"/>
    <w:rsid w:val="145075DE"/>
    <w:rsid w:val="145822B7"/>
    <w:rsid w:val="14654D1B"/>
    <w:rsid w:val="14687805"/>
    <w:rsid w:val="146B1CFB"/>
    <w:rsid w:val="146D65F1"/>
    <w:rsid w:val="147C4CAE"/>
    <w:rsid w:val="149C2E77"/>
    <w:rsid w:val="149C415F"/>
    <w:rsid w:val="14A31F03"/>
    <w:rsid w:val="14A5629F"/>
    <w:rsid w:val="14AC1E4E"/>
    <w:rsid w:val="14AC398C"/>
    <w:rsid w:val="14B3042E"/>
    <w:rsid w:val="14BA0B11"/>
    <w:rsid w:val="14C453B3"/>
    <w:rsid w:val="14CE5C48"/>
    <w:rsid w:val="14CF4E4F"/>
    <w:rsid w:val="14D141D7"/>
    <w:rsid w:val="14D5012B"/>
    <w:rsid w:val="14E47191"/>
    <w:rsid w:val="14E9786D"/>
    <w:rsid w:val="14EC3E5C"/>
    <w:rsid w:val="14ED0A8C"/>
    <w:rsid w:val="14F863D5"/>
    <w:rsid w:val="14FA4CD9"/>
    <w:rsid w:val="14FB5F43"/>
    <w:rsid w:val="15100FA6"/>
    <w:rsid w:val="1513479B"/>
    <w:rsid w:val="151A1661"/>
    <w:rsid w:val="15262908"/>
    <w:rsid w:val="1529226A"/>
    <w:rsid w:val="15387A07"/>
    <w:rsid w:val="1539647F"/>
    <w:rsid w:val="153D0A90"/>
    <w:rsid w:val="153D638E"/>
    <w:rsid w:val="154D3BE2"/>
    <w:rsid w:val="15500B81"/>
    <w:rsid w:val="15512718"/>
    <w:rsid w:val="155D4772"/>
    <w:rsid w:val="156103E7"/>
    <w:rsid w:val="15635D03"/>
    <w:rsid w:val="157723EB"/>
    <w:rsid w:val="157876E1"/>
    <w:rsid w:val="15792A24"/>
    <w:rsid w:val="1582792F"/>
    <w:rsid w:val="1587641C"/>
    <w:rsid w:val="158A42AA"/>
    <w:rsid w:val="15903990"/>
    <w:rsid w:val="159A2718"/>
    <w:rsid w:val="159A616F"/>
    <w:rsid w:val="15A16B2A"/>
    <w:rsid w:val="15A36994"/>
    <w:rsid w:val="15A47359"/>
    <w:rsid w:val="15A63099"/>
    <w:rsid w:val="15A83FDF"/>
    <w:rsid w:val="15AC1F1E"/>
    <w:rsid w:val="15B274DC"/>
    <w:rsid w:val="15B449F9"/>
    <w:rsid w:val="15B51F07"/>
    <w:rsid w:val="15B64890"/>
    <w:rsid w:val="15B7100A"/>
    <w:rsid w:val="15BA1EF1"/>
    <w:rsid w:val="15BB7F8A"/>
    <w:rsid w:val="15C532BF"/>
    <w:rsid w:val="15CB56F8"/>
    <w:rsid w:val="15D0130C"/>
    <w:rsid w:val="15D2523F"/>
    <w:rsid w:val="15D2564C"/>
    <w:rsid w:val="15D37C25"/>
    <w:rsid w:val="15D61E56"/>
    <w:rsid w:val="15DC216E"/>
    <w:rsid w:val="15DD4D2E"/>
    <w:rsid w:val="15E577C7"/>
    <w:rsid w:val="15EA10AD"/>
    <w:rsid w:val="15EB18DC"/>
    <w:rsid w:val="15EF4A01"/>
    <w:rsid w:val="15F04781"/>
    <w:rsid w:val="15F80CE0"/>
    <w:rsid w:val="15FF7F39"/>
    <w:rsid w:val="16011DF0"/>
    <w:rsid w:val="160856FA"/>
    <w:rsid w:val="161053FC"/>
    <w:rsid w:val="161409A3"/>
    <w:rsid w:val="161971DA"/>
    <w:rsid w:val="162148B4"/>
    <w:rsid w:val="16221184"/>
    <w:rsid w:val="16280F32"/>
    <w:rsid w:val="163E0BDC"/>
    <w:rsid w:val="164129F4"/>
    <w:rsid w:val="16430118"/>
    <w:rsid w:val="16446CE1"/>
    <w:rsid w:val="16570F3D"/>
    <w:rsid w:val="16572EE6"/>
    <w:rsid w:val="16573D94"/>
    <w:rsid w:val="165F0C11"/>
    <w:rsid w:val="16660F5F"/>
    <w:rsid w:val="166A6944"/>
    <w:rsid w:val="166D0B60"/>
    <w:rsid w:val="16764363"/>
    <w:rsid w:val="167A384B"/>
    <w:rsid w:val="167F4E63"/>
    <w:rsid w:val="16837FDA"/>
    <w:rsid w:val="1684192E"/>
    <w:rsid w:val="16843A7E"/>
    <w:rsid w:val="1688409F"/>
    <w:rsid w:val="168A3F5C"/>
    <w:rsid w:val="168B1464"/>
    <w:rsid w:val="168E0B29"/>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65268"/>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57F80"/>
    <w:rsid w:val="17393127"/>
    <w:rsid w:val="17423214"/>
    <w:rsid w:val="174903F6"/>
    <w:rsid w:val="174E5530"/>
    <w:rsid w:val="17512C20"/>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B38BD"/>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14736E"/>
    <w:rsid w:val="18155E9A"/>
    <w:rsid w:val="181960F3"/>
    <w:rsid w:val="181A28E1"/>
    <w:rsid w:val="181B563D"/>
    <w:rsid w:val="181E152E"/>
    <w:rsid w:val="18213EE3"/>
    <w:rsid w:val="18252AF9"/>
    <w:rsid w:val="18297B0F"/>
    <w:rsid w:val="182B0B12"/>
    <w:rsid w:val="182E057C"/>
    <w:rsid w:val="182F2D36"/>
    <w:rsid w:val="183C1763"/>
    <w:rsid w:val="184476DA"/>
    <w:rsid w:val="1846532E"/>
    <w:rsid w:val="18540741"/>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A81274"/>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507206"/>
    <w:rsid w:val="19546D47"/>
    <w:rsid w:val="19594AC8"/>
    <w:rsid w:val="195F4565"/>
    <w:rsid w:val="19642537"/>
    <w:rsid w:val="19704940"/>
    <w:rsid w:val="19767890"/>
    <w:rsid w:val="1978347B"/>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34E11"/>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3600"/>
    <w:rsid w:val="1A5078A1"/>
    <w:rsid w:val="1A574E8B"/>
    <w:rsid w:val="1A5A027E"/>
    <w:rsid w:val="1A5B332D"/>
    <w:rsid w:val="1A5D418F"/>
    <w:rsid w:val="1A66695A"/>
    <w:rsid w:val="1A667C29"/>
    <w:rsid w:val="1A68714A"/>
    <w:rsid w:val="1A6B3EC0"/>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91640"/>
    <w:rsid w:val="1AA14EDD"/>
    <w:rsid w:val="1AA33EAF"/>
    <w:rsid w:val="1AA4489D"/>
    <w:rsid w:val="1AA950A9"/>
    <w:rsid w:val="1AA964C5"/>
    <w:rsid w:val="1AAC5EBD"/>
    <w:rsid w:val="1AB84139"/>
    <w:rsid w:val="1AB8464E"/>
    <w:rsid w:val="1AB86D73"/>
    <w:rsid w:val="1ABE6357"/>
    <w:rsid w:val="1AC05FAA"/>
    <w:rsid w:val="1AC51203"/>
    <w:rsid w:val="1AC94503"/>
    <w:rsid w:val="1AC948BA"/>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1D54"/>
    <w:rsid w:val="1B265FC9"/>
    <w:rsid w:val="1B397F6B"/>
    <w:rsid w:val="1B3A63E1"/>
    <w:rsid w:val="1B3B1E3D"/>
    <w:rsid w:val="1B3B44BF"/>
    <w:rsid w:val="1B3F232C"/>
    <w:rsid w:val="1B435219"/>
    <w:rsid w:val="1B452832"/>
    <w:rsid w:val="1B517050"/>
    <w:rsid w:val="1B55429F"/>
    <w:rsid w:val="1B5C4B10"/>
    <w:rsid w:val="1B61276F"/>
    <w:rsid w:val="1B676B44"/>
    <w:rsid w:val="1B6B6632"/>
    <w:rsid w:val="1B6F4CAB"/>
    <w:rsid w:val="1B7D6CAD"/>
    <w:rsid w:val="1B8474D6"/>
    <w:rsid w:val="1B977DE2"/>
    <w:rsid w:val="1B9A19C7"/>
    <w:rsid w:val="1B9C679E"/>
    <w:rsid w:val="1B9D1CD8"/>
    <w:rsid w:val="1BA11EB8"/>
    <w:rsid w:val="1BA43A43"/>
    <w:rsid w:val="1BA500AA"/>
    <w:rsid w:val="1BA65768"/>
    <w:rsid w:val="1BAD3EDE"/>
    <w:rsid w:val="1BB07692"/>
    <w:rsid w:val="1BB2123C"/>
    <w:rsid w:val="1BBA4777"/>
    <w:rsid w:val="1BBC69DC"/>
    <w:rsid w:val="1BBF70DC"/>
    <w:rsid w:val="1BC32272"/>
    <w:rsid w:val="1BD3282F"/>
    <w:rsid w:val="1BD40132"/>
    <w:rsid w:val="1BD40EFB"/>
    <w:rsid w:val="1BD6379A"/>
    <w:rsid w:val="1BD77F25"/>
    <w:rsid w:val="1BD85300"/>
    <w:rsid w:val="1BD93FE1"/>
    <w:rsid w:val="1BDA21BF"/>
    <w:rsid w:val="1BDF06EA"/>
    <w:rsid w:val="1BE05A00"/>
    <w:rsid w:val="1BE60A89"/>
    <w:rsid w:val="1BED5DF9"/>
    <w:rsid w:val="1BEF1D12"/>
    <w:rsid w:val="1BF6094C"/>
    <w:rsid w:val="1BFB76FA"/>
    <w:rsid w:val="1BFC4EEB"/>
    <w:rsid w:val="1C086588"/>
    <w:rsid w:val="1C097162"/>
    <w:rsid w:val="1C0A656E"/>
    <w:rsid w:val="1C114C4D"/>
    <w:rsid w:val="1C16147F"/>
    <w:rsid w:val="1C176961"/>
    <w:rsid w:val="1C1C6556"/>
    <w:rsid w:val="1C23366C"/>
    <w:rsid w:val="1C245463"/>
    <w:rsid w:val="1C2D02F8"/>
    <w:rsid w:val="1C3019B6"/>
    <w:rsid w:val="1C327EC7"/>
    <w:rsid w:val="1C376C5A"/>
    <w:rsid w:val="1C3D1CE9"/>
    <w:rsid w:val="1C3F5739"/>
    <w:rsid w:val="1C41146D"/>
    <w:rsid w:val="1C4404B4"/>
    <w:rsid w:val="1C4863EB"/>
    <w:rsid w:val="1C4A151A"/>
    <w:rsid w:val="1C4A4C0A"/>
    <w:rsid w:val="1C512A13"/>
    <w:rsid w:val="1C51797A"/>
    <w:rsid w:val="1C5245A7"/>
    <w:rsid w:val="1C532913"/>
    <w:rsid w:val="1C55783B"/>
    <w:rsid w:val="1C597B10"/>
    <w:rsid w:val="1C606999"/>
    <w:rsid w:val="1C65681C"/>
    <w:rsid w:val="1C6611FF"/>
    <w:rsid w:val="1C6E29AB"/>
    <w:rsid w:val="1C6E5EB5"/>
    <w:rsid w:val="1C7026A5"/>
    <w:rsid w:val="1C787478"/>
    <w:rsid w:val="1C7A4B33"/>
    <w:rsid w:val="1C861BA5"/>
    <w:rsid w:val="1C87286B"/>
    <w:rsid w:val="1C887739"/>
    <w:rsid w:val="1C8C7365"/>
    <w:rsid w:val="1C946042"/>
    <w:rsid w:val="1C9A58D3"/>
    <w:rsid w:val="1C9B511E"/>
    <w:rsid w:val="1C9D7804"/>
    <w:rsid w:val="1CA86F01"/>
    <w:rsid w:val="1CAA0938"/>
    <w:rsid w:val="1CAB16B9"/>
    <w:rsid w:val="1CAC48C5"/>
    <w:rsid w:val="1CAF26D0"/>
    <w:rsid w:val="1CB15744"/>
    <w:rsid w:val="1CBB2BE6"/>
    <w:rsid w:val="1CC042D2"/>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6F63F5"/>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447C8"/>
    <w:rsid w:val="1DB80A24"/>
    <w:rsid w:val="1DBF1E64"/>
    <w:rsid w:val="1DC00537"/>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02374"/>
    <w:rsid w:val="1E912F39"/>
    <w:rsid w:val="1E941393"/>
    <w:rsid w:val="1E974386"/>
    <w:rsid w:val="1E994431"/>
    <w:rsid w:val="1EA31D3F"/>
    <w:rsid w:val="1EA51FFC"/>
    <w:rsid w:val="1EA96187"/>
    <w:rsid w:val="1EAD4715"/>
    <w:rsid w:val="1EAD6B73"/>
    <w:rsid w:val="1EAE45FC"/>
    <w:rsid w:val="1EB010E6"/>
    <w:rsid w:val="1EB02419"/>
    <w:rsid w:val="1EB85929"/>
    <w:rsid w:val="1EB9671A"/>
    <w:rsid w:val="1EBA66FA"/>
    <w:rsid w:val="1EBC68DA"/>
    <w:rsid w:val="1EBF4CD5"/>
    <w:rsid w:val="1EC063B9"/>
    <w:rsid w:val="1ECA6972"/>
    <w:rsid w:val="1ECE1B03"/>
    <w:rsid w:val="1ECE723E"/>
    <w:rsid w:val="1ED55822"/>
    <w:rsid w:val="1EE82B1F"/>
    <w:rsid w:val="1EE83BBB"/>
    <w:rsid w:val="1EEA0B27"/>
    <w:rsid w:val="1EEC1AE0"/>
    <w:rsid w:val="1EEC3E9A"/>
    <w:rsid w:val="1EF15EF6"/>
    <w:rsid w:val="1EF47C22"/>
    <w:rsid w:val="1EF94FD3"/>
    <w:rsid w:val="1EFB41E9"/>
    <w:rsid w:val="1F072262"/>
    <w:rsid w:val="1F0A6660"/>
    <w:rsid w:val="1F113D7D"/>
    <w:rsid w:val="1F1B3A11"/>
    <w:rsid w:val="1F2C4DDD"/>
    <w:rsid w:val="1F2D7DE6"/>
    <w:rsid w:val="1F2E587C"/>
    <w:rsid w:val="1F35610C"/>
    <w:rsid w:val="1F3965C5"/>
    <w:rsid w:val="1F3F7CB8"/>
    <w:rsid w:val="1F4446D7"/>
    <w:rsid w:val="1F454DA9"/>
    <w:rsid w:val="1F477D89"/>
    <w:rsid w:val="1F504A65"/>
    <w:rsid w:val="1F507664"/>
    <w:rsid w:val="1F544B9B"/>
    <w:rsid w:val="1F576A45"/>
    <w:rsid w:val="1F6037D1"/>
    <w:rsid w:val="1F61588F"/>
    <w:rsid w:val="1F637F5A"/>
    <w:rsid w:val="1F710118"/>
    <w:rsid w:val="1F764C52"/>
    <w:rsid w:val="1F792C3A"/>
    <w:rsid w:val="1F7C64ED"/>
    <w:rsid w:val="1F802382"/>
    <w:rsid w:val="1F9A7DD3"/>
    <w:rsid w:val="1FA35CF7"/>
    <w:rsid w:val="1FAA54F7"/>
    <w:rsid w:val="1FB04C74"/>
    <w:rsid w:val="1FB234B9"/>
    <w:rsid w:val="1FB966AC"/>
    <w:rsid w:val="1FBB74F1"/>
    <w:rsid w:val="1FC9495F"/>
    <w:rsid w:val="1FCC6D20"/>
    <w:rsid w:val="1FCD6C5E"/>
    <w:rsid w:val="1FE91010"/>
    <w:rsid w:val="1FEA7C4D"/>
    <w:rsid w:val="1FED0EE5"/>
    <w:rsid w:val="1FED1708"/>
    <w:rsid w:val="1FF00B32"/>
    <w:rsid w:val="1FF23FB4"/>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50D4D"/>
    <w:rsid w:val="203971E9"/>
    <w:rsid w:val="204D6F97"/>
    <w:rsid w:val="20507F06"/>
    <w:rsid w:val="20594BEA"/>
    <w:rsid w:val="205C388F"/>
    <w:rsid w:val="205F780B"/>
    <w:rsid w:val="20633817"/>
    <w:rsid w:val="20681475"/>
    <w:rsid w:val="207A7253"/>
    <w:rsid w:val="207D2005"/>
    <w:rsid w:val="207F108A"/>
    <w:rsid w:val="208138D1"/>
    <w:rsid w:val="20874C2B"/>
    <w:rsid w:val="208916D3"/>
    <w:rsid w:val="208C58CE"/>
    <w:rsid w:val="208C6C73"/>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32D1B"/>
    <w:rsid w:val="20C43B9F"/>
    <w:rsid w:val="20C81B99"/>
    <w:rsid w:val="20C976CD"/>
    <w:rsid w:val="20CA278B"/>
    <w:rsid w:val="20CF43B0"/>
    <w:rsid w:val="20D50E20"/>
    <w:rsid w:val="20D717F1"/>
    <w:rsid w:val="20D97479"/>
    <w:rsid w:val="20DB4340"/>
    <w:rsid w:val="20E30CFA"/>
    <w:rsid w:val="20E70102"/>
    <w:rsid w:val="20EF51C8"/>
    <w:rsid w:val="20F05924"/>
    <w:rsid w:val="20F13F32"/>
    <w:rsid w:val="20F453F7"/>
    <w:rsid w:val="20F54434"/>
    <w:rsid w:val="20F627FE"/>
    <w:rsid w:val="20F81429"/>
    <w:rsid w:val="20FD6D18"/>
    <w:rsid w:val="20FE48A8"/>
    <w:rsid w:val="20FE4BBD"/>
    <w:rsid w:val="2103608A"/>
    <w:rsid w:val="210F68A1"/>
    <w:rsid w:val="21133C1E"/>
    <w:rsid w:val="211C0E4B"/>
    <w:rsid w:val="211D790C"/>
    <w:rsid w:val="2120090B"/>
    <w:rsid w:val="212720E3"/>
    <w:rsid w:val="2128143B"/>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C6B87"/>
    <w:rsid w:val="216D2FFC"/>
    <w:rsid w:val="2175003E"/>
    <w:rsid w:val="217A71B3"/>
    <w:rsid w:val="217C6EC7"/>
    <w:rsid w:val="218414ED"/>
    <w:rsid w:val="218F158A"/>
    <w:rsid w:val="21927FFF"/>
    <w:rsid w:val="219354AA"/>
    <w:rsid w:val="2196164B"/>
    <w:rsid w:val="2196788C"/>
    <w:rsid w:val="21B34081"/>
    <w:rsid w:val="21B76CF4"/>
    <w:rsid w:val="21BC401D"/>
    <w:rsid w:val="21BE61E3"/>
    <w:rsid w:val="21BF1C5A"/>
    <w:rsid w:val="21C618F4"/>
    <w:rsid w:val="21CC7D65"/>
    <w:rsid w:val="21D31757"/>
    <w:rsid w:val="21D33066"/>
    <w:rsid w:val="21D73B21"/>
    <w:rsid w:val="21DC04F8"/>
    <w:rsid w:val="21DC4656"/>
    <w:rsid w:val="21E5678C"/>
    <w:rsid w:val="21E8009D"/>
    <w:rsid w:val="21EC66F9"/>
    <w:rsid w:val="21EF2E89"/>
    <w:rsid w:val="21F27385"/>
    <w:rsid w:val="21F477AF"/>
    <w:rsid w:val="21F80754"/>
    <w:rsid w:val="21FD1F93"/>
    <w:rsid w:val="2203212D"/>
    <w:rsid w:val="22122053"/>
    <w:rsid w:val="221500FE"/>
    <w:rsid w:val="22160E61"/>
    <w:rsid w:val="22170083"/>
    <w:rsid w:val="22191667"/>
    <w:rsid w:val="221E4044"/>
    <w:rsid w:val="22287532"/>
    <w:rsid w:val="222E4B36"/>
    <w:rsid w:val="222F05E6"/>
    <w:rsid w:val="22317A3E"/>
    <w:rsid w:val="22330CD8"/>
    <w:rsid w:val="22335E59"/>
    <w:rsid w:val="22447536"/>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C1360"/>
    <w:rsid w:val="22ED1151"/>
    <w:rsid w:val="22EF3AA1"/>
    <w:rsid w:val="22F0339E"/>
    <w:rsid w:val="22F260B3"/>
    <w:rsid w:val="23014B3D"/>
    <w:rsid w:val="2302293E"/>
    <w:rsid w:val="23075061"/>
    <w:rsid w:val="230A64F4"/>
    <w:rsid w:val="23136A91"/>
    <w:rsid w:val="2314181E"/>
    <w:rsid w:val="2317727F"/>
    <w:rsid w:val="231C33A3"/>
    <w:rsid w:val="232020A5"/>
    <w:rsid w:val="23247DA8"/>
    <w:rsid w:val="23263DF4"/>
    <w:rsid w:val="232A727C"/>
    <w:rsid w:val="233072E9"/>
    <w:rsid w:val="23357DCC"/>
    <w:rsid w:val="23360C6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BD2FC4"/>
    <w:rsid w:val="23C228CA"/>
    <w:rsid w:val="23C47EE0"/>
    <w:rsid w:val="23C97F42"/>
    <w:rsid w:val="23CA454E"/>
    <w:rsid w:val="23CB2FC5"/>
    <w:rsid w:val="23D07021"/>
    <w:rsid w:val="23D75FA5"/>
    <w:rsid w:val="23DC78BC"/>
    <w:rsid w:val="23DD31F6"/>
    <w:rsid w:val="23E64F34"/>
    <w:rsid w:val="23E75469"/>
    <w:rsid w:val="23EE1A0B"/>
    <w:rsid w:val="23EE32CE"/>
    <w:rsid w:val="23F650B1"/>
    <w:rsid w:val="24032E6A"/>
    <w:rsid w:val="24054AA6"/>
    <w:rsid w:val="24055D97"/>
    <w:rsid w:val="240C233A"/>
    <w:rsid w:val="240F66A9"/>
    <w:rsid w:val="24107D2B"/>
    <w:rsid w:val="241157A7"/>
    <w:rsid w:val="24191D8F"/>
    <w:rsid w:val="241A0D14"/>
    <w:rsid w:val="242148AF"/>
    <w:rsid w:val="24373F32"/>
    <w:rsid w:val="244359C5"/>
    <w:rsid w:val="24444FD4"/>
    <w:rsid w:val="24464871"/>
    <w:rsid w:val="244A34E7"/>
    <w:rsid w:val="244C2F9E"/>
    <w:rsid w:val="245D17E8"/>
    <w:rsid w:val="245D35CF"/>
    <w:rsid w:val="246511E2"/>
    <w:rsid w:val="24706349"/>
    <w:rsid w:val="24754CB4"/>
    <w:rsid w:val="24766F09"/>
    <w:rsid w:val="247A0B6D"/>
    <w:rsid w:val="247C2AEC"/>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114FF"/>
    <w:rsid w:val="25314B2C"/>
    <w:rsid w:val="253213B3"/>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D3935"/>
    <w:rsid w:val="257E3B36"/>
    <w:rsid w:val="258251CA"/>
    <w:rsid w:val="258637B3"/>
    <w:rsid w:val="25874CB7"/>
    <w:rsid w:val="258A7CED"/>
    <w:rsid w:val="25931817"/>
    <w:rsid w:val="259431DD"/>
    <w:rsid w:val="25956522"/>
    <w:rsid w:val="25962013"/>
    <w:rsid w:val="25976F1C"/>
    <w:rsid w:val="25995069"/>
    <w:rsid w:val="259B43D0"/>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740E"/>
    <w:rsid w:val="25D37D50"/>
    <w:rsid w:val="25D577BE"/>
    <w:rsid w:val="25D80360"/>
    <w:rsid w:val="25DE7808"/>
    <w:rsid w:val="25E10B12"/>
    <w:rsid w:val="25E6527D"/>
    <w:rsid w:val="25F758CB"/>
    <w:rsid w:val="26040C06"/>
    <w:rsid w:val="260B0A4A"/>
    <w:rsid w:val="26144453"/>
    <w:rsid w:val="261824BC"/>
    <w:rsid w:val="26193B65"/>
    <w:rsid w:val="26197FFF"/>
    <w:rsid w:val="261B562B"/>
    <w:rsid w:val="261B5B78"/>
    <w:rsid w:val="261B6EC1"/>
    <w:rsid w:val="26243082"/>
    <w:rsid w:val="26274BCC"/>
    <w:rsid w:val="262D5251"/>
    <w:rsid w:val="2633043C"/>
    <w:rsid w:val="2636650A"/>
    <w:rsid w:val="263A64BD"/>
    <w:rsid w:val="263B50EB"/>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92EA8"/>
    <w:rsid w:val="274B09CE"/>
    <w:rsid w:val="275269EE"/>
    <w:rsid w:val="2755572E"/>
    <w:rsid w:val="276010D4"/>
    <w:rsid w:val="27614F78"/>
    <w:rsid w:val="27647913"/>
    <w:rsid w:val="27653B8D"/>
    <w:rsid w:val="276B0663"/>
    <w:rsid w:val="276C47FF"/>
    <w:rsid w:val="2773738D"/>
    <w:rsid w:val="277973C8"/>
    <w:rsid w:val="27880564"/>
    <w:rsid w:val="278C4BFF"/>
    <w:rsid w:val="278E5245"/>
    <w:rsid w:val="279025EE"/>
    <w:rsid w:val="27924A6D"/>
    <w:rsid w:val="27992850"/>
    <w:rsid w:val="27AA4362"/>
    <w:rsid w:val="27AF12EF"/>
    <w:rsid w:val="27B47525"/>
    <w:rsid w:val="27BF67BA"/>
    <w:rsid w:val="27C04AAA"/>
    <w:rsid w:val="27C07D92"/>
    <w:rsid w:val="27C60A21"/>
    <w:rsid w:val="27D021D8"/>
    <w:rsid w:val="27D320E7"/>
    <w:rsid w:val="27D54E77"/>
    <w:rsid w:val="27D65DE5"/>
    <w:rsid w:val="27D7429E"/>
    <w:rsid w:val="27DC7DE0"/>
    <w:rsid w:val="27DE1BFF"/>
    <w:rsid w:val="27E12983"/>
    <w:rsid w:val="27E44357"/>
    <w:rsid w:val="27E86387"/>
    <w:rsid w:val="27EA32D3"/>
    <w:rsid w:val="27EF19A7"/>
    <w:rsid w:val="27F22F77"/>
    <w:rsid w:val="27F264AC"/>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360B4"/>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26A1A"/>
    <w:rsid w:val="28BC55B3"/>
    <w:rsid w:val="28BF59E6"/>
    <w:rsid w:val="28C14F11"/>
    <w:rsid w:val="28C52C68"/>
    <w:rsid w:val="28CF0263"/>
    <w:rsid w:val="28D773A2"/>
    <w:rsid w:val="28E069B4"/>
    <w:rsid w:val="28E17E2C"/>
    <w:rsid w:val="28E44161"/>
    <w:rsid w:val="28E474F2"/>
    <w:rsid w:val="28F15C5D"/>
    <w:rsid w:val="28FA1728"/>
    <w:rsid w:val="28FB61AA"/>
    <w:rsid w:val="290301B6"/>
    <w:rsid w:val="29046B1A"/>
    <w:rsid w:val="29070F98"/>
    <w:rsid w:val="290A0269"/>
    <w:rsid w:val="290C30B7"/>
    <w:rsid w:val="290E7E3D"/>
    <w:rsid w:val="290F5FD5"/>
    <w:rsid w:val="2911001D"/>
    <w:rsid w:val="2911600E"/>
    <w:rsid w:val="291671BE"/>
    <w:rsid w:val="291E162B"/>
    <w:rsid w:val="291F06CA"/>
    <w:rsid w:val="292E488D"/>
    <w:rsid w:val="2932177F"/>
    <w:rsid w:val="29332D86"/>
    <w:rsid w:val="293B6623"/>
    <w:rsid w:val="293C4A53"/>
    <w:rsid w:val="293F5BD5"/>
    <w:rsid w:val="29427904"/>
    <w:rsid w:val="294438A1"/>
    <w:rsid w:val="29473510"/>
    <w:rsid w:val="29473AA4"/>
    <w:rsid w:val="294C3727"/>
    <w:rsid w:val="295072ED"/>
    <w:rsid w:val="29516A9C"/>
    <w:rsid w:val="295439EA"/>
    <w:rsid w:val="2958513D"/>
    <w:rsid w:val="295C041A"/>
    <w:rsid w:val="295C36E2"/>
    <w:rsid w:val="2961437A"/>
    <w:rsid w:val="29672F7E"/>
    <w:rsid w:val="29717D72"/>
    <w:rsid w:val="2972757D"/>
    <w:rsid w:val="2978500B"/>
    <w:rsid w:val="29793538"/>
    <w:rsid w:val="2979571D"/>
    <w:rsid w:val="297A488F"/>
    <w:rsid w:val="297E42BA"/>
    <w:rsid w:val="298201B8"/>
    <w:rsid w:val="29835EF3"/>
    <w:rsid w:val="299B07C3"/>
    <w:rsid w:val="299B6E36"/>
    <w:rsid w:val="29A06750"/>
    <w:rsid w:val="29A57939"/>
    <w:rsid w:val="29A646F0"/>
    <w:rsid w:val="29AB1C0C"/>
    <w:rsid w:val="29AB7532"/>
    <w:rsid w:val="29AC5E75"/>
    <w:rsid w:val="29AC64D3"/>
    <w:rsid w:val="29B508BB"/>
    <w:rsid w:val="29B772EE"/>
    <w:rsid w:val="29B92091"/>
    <w:rsid w:val="29BC3896"/>
    <w:rsid w:val="29BD4006"/>
    <w:rsid w:val="29CA48E3"/>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22388A"/>
    <w:rsid w:val="2A241EE5"/>
    <w:rsid w:val="2A3B2565"/>
    <w:rsid w:val="2A3B3E69"/>
    <w:rsid w:val="2A3F15E1"/>
    <w:rsid w:val="2A451545"/>
    <w:rsid w:val="2A467378"/>
    <w:rsid w:val="2A4A7DFC"/>
    <w:rsid w:val="2A4B11DF"/>
    <w:rsid w:val="2A4F54C7"/>
    <w:rsid w:val="2A664217"/>
    <w:rsid w:val="2A6E2A78"/>
    <w:rsid w:val="2A792BFF"/>
    <w:rsid w:val="2A8050E9"/>
    <w:rsid w:val="2A805538"/>
    <w:rsid w:val="2A8212F0"/>
    <w:rsid w:val="2A917182"/>
    <w:rsid w:val="2A920759"/>
    <w:rsid w:val="2A974BCB"/>
    <w:rsid w:val="2A9C49E4"/>
    <w:rsid w:val="2AA908D0"/>
    <w:rsid w:val="2AA95D82"/>
    <w:rsid w:val="2AB90F00"/>
    <w:rsid w:val="2ABA5408"/>
    <w:rsid w:val="2ABB429B"/>
    <w:rsid w:val="2AC64A5F"/>
    <w:rsid w:val="2AC9741F"/>
    <w:rsid w:val="2ACB6B27"/>
    <w:rsid w:val="2AD623FD"/>
    <w:rsid w:val="2AD92B70"/>
    <w:rsid w:val="2ADA1FD1"/>
    <w:rsid w:val="2AE020A3"/>
    <w:rsid w:val="2AE573C9"/>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E1785"/>
    <w:rsid w:val="2BCF702A"/>
    <w:rsid w:val="2BD13874"/>
    <w:rsid w:val="2BD3485D"/>
    <w:rsid w:val="2BEA572B"/>
    <w:rsid w:val="2BED6E21"/>
    <w:rsid w:val="2BEF1332"/>
    <w:rsid w:val="2BF37482"/>
    <w:rsid w:val="2BFC4190"/>
    <w:rsid w:val="2BFC604E"/>
    <w:rsid w:val="2C014C9D"/>
    <w:rsid w:val="2C04740C"/>
    <w:rsid w:val="2C0504F8"/>
    <w:rsid w:val="2C0577B1"/>
    <w:rsid w:val="2C141C19"/>
    <w:rsid w:val="2C14690F"/>
    <w:rsid w:val="2C1E5A47"/>
    <w:rsid w:val="2C237D93"/>
    <w:rsid w:val="2C311769"/>
    <w:rsid w:val="2C315244"/>
    <w:rsid w:val="2C4310C2"/>
    <w:rsid w:val="2C433E00"/>
    <w:rsid w:val="2C436D28"/>
    <w:rsid w:val="2C496564"/>
    <w:rsid w:val="2C4D619A"/>
    <w:rsid w:val="2C501603"/>
    <w:rsid w:val="2C512E63"/>
    <w:rsid w:val="2C5B1458"/>
    <w:rsid w:val="2C5C21E0"/>
    <w:rsid w:val="2C5F3E2E"/>
    <w:rsid w:val="2C617C53"/>
    <w:rsid w:val="2C65497E"/>
    <w:rsid w:val="2C667518"/>
    <w:rsid w:val="2C7631D7"/>
    <w:rsid w:val="2C784F42"/>
    <w:rsid w:val="2C790296"/>
    <w:rsid w:val="2C7E7AD5"/>
    <w:rsid w:val="2C8928F0"/>
    <w:rsid w:val="2C8C31C6"/>
    <w:rsid w:val="2C923F36"/>
    <w:rsid w:val="2C93579A"/>
    <w:rsid w:val="2C961AF8"/>
    <w:rsid w:val="2C9756BF"/>
    <w:rsid w:val="2C992DAF"/>
    <w:rsid w:val="2CA14EDD"/>
    <w:rsid w:val="2CA867F5"/>
    <w:rsid w:val="2CAD5B03"/>
    <w:rsid w:val="2CAE3B13"/>
    <w:rsid w:val="2CAF788B"/>
    <w:rsid w:val="2CC708B0"/>
    <w:rsid w:val="2CC712E9"/>
    <w:rsid w:val="2CCA6712"/>
    <w:rsid w:val="2CD30CE3"/>
    <w:rsid w:val="2CD37602"/>
    <w:rsid w:val="2CD44C36"/>
    <w:rsid w:val="2CDA3D5D"/>
    <w:rsid w:val="2CE06AAF"/>
    <w:rsid w:val="2CEA515A"/>
    <w:rsid w:val="2CEE15E1"/>
    <w:rsid w:val="2CF06A3C"/>
    <w:rsid w:val="2CF26F5B"/>
    <w:rsid w:val="2CFF086A"/>
    <w:rsid w:val="2D03538A"/>
    <w:rsid w:val="2D0375A0"/>
    <w:rsid w:val="2D064182"/>
    <w:rsid w:val="2D064B26"/>
    <w:rsid w:val="2D086932"/>
    <w:rsid w:val="2D104632"/>
    <w:rsid w:val="2D3072FE"/>
    <w:rsid w:val="2D31028B"/>
    <w:rsid w:val="2D356F9E"/>
    <w:rsid w:val="2D3C2256"/>
    <w:rsid w:val="2D416432"/>
    <w:rsid w:val="2D420181"/>
    <w:rsid w:val="2D4462AF"/>
    <w:rsid w:val="2D4537ED"/>
    <w:rsid w:val="2D455CC0"/>
    <w:rsid w:val="2D487A88"/>
    <w:rsid w:val="2D51110B"/>
    <w:rsid w:val="2D51656F"/>
    <w:rsid w:val="2D5F3B18"/>
    <w:rsid w:val="2D61022F"/>
    <w:rsid w:val="2D633FFF"/>
    <w:rsid w:val="2D6C388D"/>
    <w:rsid w:val="2D716D64"/>
    <w:rsid w:val="2D74403E"/>
    <w:rsid w:val="2D786928"/>
    <w:rsid w:val="2D797FB2"/>
    <w:rsid w:val="2D7E3395"/>
    <w:rsid w:val="2D8B2F25"/>
    <w:rsid w:val="2D8D3440"/>
    <w:rsid w:val="2D946AA5"/>
    <w:rsid w:val="2D9600E1"/>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4F6219"/>
    <w:rsid w:val="2E5024D8"/>
    <w:rsid w:val="2E522352"/>
    <w:rsid w:val="2E55304D"/>
    <w:rsid w:val="2E5F3B5E"/>
    <w:rsid w:val="2E602D70"/>
    <w:rsid w:val="2E643BF9"/>
    <w:rsid w:val="2E680509"/>
    <w:rsid w:val="2E685C92"/>
    <w:rsid w:val="2E75346A"/>
    <w:rsid w:val="2E89270D"/>
    <w:rsid w:val="2E8A68CC"/>
    <w:rsid w:val="2E930996"/>
    <w:rsid w:val="2EA469A3"/>
    <w:rsid w:val="2EAE08A6"/>
    <w:rsid w:val="2EBD6A69"/>
    <w:rsid w:val="2EC53E66"/>
    <w:rsid w:val="2ECA785E"/>
    <w:rsid w:val="2ECE63AB"/>
    <w:rsid w:val="2ECF267B"/>
    <w:rsid w:val="2ED26976"/>
    <w:rsid w:val="2EE0631E"/>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457D7"/>
    <w:rsid w:val="2F4575D0"/>
    <w:rsid w:val="2F494BC9"/>
    <w:rsid w:val="2F4E31E9"/>
    <w:rsid w:val="2F4E4C44"/>
    <w:rsid w:val="2F4F0F17"/>
    <w:rsid w:val="2F4F2BD8"/>
    <w:rsid w:val="2F521674"/>
    <w:rsid w:val="2F6253DA"/>
    <w:rsid w:val="2F781F3C"/>
    <w:rsid w:val="2F7B458E"/>
    <w:rsid w:val="2F7F152E"/>
    <w:rsid w:val="2F811219"/>
    <w:rsid w:val="2F843638"/>
    <w:rsid w:val="2F8F1169"/>
    <w:rsid w:val="2F986A24"/>
    <w:rsid w:val="2F9F6B02"/>
    <w:rsid w:val="2F9F7778"/>
    <w:rsid w:val="2FA1288C"/>
    <w:rsid w:val="2FA13F69"/>
    <w:rsid w:val="2FA43916"/>
    <w:rsid w:val="2FA766BC"/>
    <w:rsid w:val="2FB037D4"/>
    <w:rsid w:val="2FB113E5"/>
    <w:rsid w:val="2FB54744"/>
    <w:rsid w:val="2FBA2734"/>
    <w:rsid w:val="2FC70CB8"/>
    <w:rsid w:val="2FCA1C72"/>
    <w:rsid w:val="2FCA5887"/>
    <w:rsid w:val="2FCB0E21"/>
    <w:rsid w:val="2FCC3374"/>
    <w:rsid w:val="2FCD238F"/>
    <w:rsid w:val="2FCF3946"/>
    <w:rsid w:val="2FD73D5F"/>
    <w:rsid w:val="2FDF68B6"/>
    <w:rsid w:val="2FE424EB"/>
    <w:rsid w:val="2FE465CC"/>
    <w:rsid w:val="2FEA0C32"/>
    <w:rsid w:val="2FEB2416"/>
    <w:rsid w:val="2FED56B0"/>
    <w:rsid w:val="2FF657DC"/>
    <w:rsid w:val="2FFA4EB6"/>
    <w:rsid w:val="300E5103"/>
    <w:rsid w:val="30132A83"/>
    <w:rsid w:val="30195389"/>
    <w:rsid w:val="30220483"/>
    <w:rsid w:val="30243ECE"/>
    <w:rsid w:val="302E2308"/>
    <w:rsid w:val="3036574D"/>
    <w:rsid w:val="303A40DD"/>
    <w:rsid w:val="304173D0"/>
    <w:rsid w:val="30442620"/>
    <w:rsid w:val="30445D41"/>
    <w:rsid w:val="304704BF"/>
    <w:rsid w:val="304B6BB7"/>
    <w:rsid w:val="304C4503"/>
    <w:rsid w:val="30526AC1"/>
    <w:rsid w:val="30530FD9"/>
    <w:rsid w:val="3054190C"/>
    <w:rsid w:val="305568C5"/>
    <w:rsid w:val="305D124C"/>
    <w:rsid w:val="305D3CBC"/>
    <w:rsid w:val="30661C52"/>
    <w:rsid w:val="306D7B1F"/>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D5BC9"/>
    <w:rsid w:val="30E31EEB"/>
    <w:rsid w:val="30E64CA0"/>
    <w:rsid w:val="30EC6AD9"/>
    <w:rsid w:val="30ED7025"/>
    <w:rsid w:val="30EE6C60"/>
    <w:rsid w:val="30F653E9"/>
    <w:rsid w:val="31081AAA"/>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3039E"/>
    <w:rsid w:val="314673FF"/>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FC2"/>
    <w:rsid w:val="31846EA4"/>
    <w:rsid w:val="31854832"/>
    <w:rsid w:val="31884274"/>
    <w:rsid w:val="318949FD"/>
    <w:rsid w:val="318B0F4D"/>
    <w:rsid w:val="318E5084"/>
    <w:rsid w:val="318E6312"/>
    <w:rsid w:val="31913100"/>
    <w:rsid w:val="31973AF5"/>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603716"/>
    <w:rsid w:val="32667CE0"/>
    <w:rsid w:val="326B5802"/>
    <w:rsid w:val="326C6CF3"/>
    <w:rsid w:val="32732916"/>
    <w:rsid w:val="32774D8E"/>
    <w:rsid w:val="3279408A"/>
    <w:rsid w:val="327C3D6F"/>
    <w:rsid w:val="327E4D99"/>
    <w:rsid w:val="328D3719"/>
    <w:rsid w:val="32A67B6D"/>
    <w:rsid w:val="32A67BA6"/>
    <w:rsid w:val="32AF69B0"/>
    <w:rsid w:val="32B21E52"/>
    <w:rsid w:val="32B30DFB"/>
    <w:rsid w:val="32BA0F20"/>
    <w:rsid w:val="32BB58A2"/>
    <w:rsid w:val="32BD2699"/>
    <w:rsid w:val="32C018D2"/>
    <w:rsid w:val="32C81855"/>
    <w:rsid w:val="32CA675E"/>
    <w:rsid w:val="32CF3BEC"/>
    <w:rsid w:val="32D01C77"/>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3702E1"/>
    <w:rsid w:val="33371942"/>
    <w:rsid w:val="333A1999"/>
    <w:rsid w:val="33403AD0"/>
    <w:rsid w:val="334324D3"/>
    <w:rsid w:val="334E1283"/>
    <w:rsid w:val="334E71AC"/>
    <w:rsid w:val="33516F0A"/>
    <w:rsid w:val="33557FE0"/>
    <w:rsid w:val="3359556A"/>
    <w:rsid w:val="335B1FC8"/>
    <w:rsid w:val="33601403"/>
    <w:rsid w:val="336179AF"/>
    <w:rsid w:val="33690062"/>
    <w:rsid w:val="3369354A"/>
    <w:rsid w:val="336A45E2"/>
    <w:rsid w:val="336C2E3E"/>
    <w:rsid w:val="3373347A"/>
    <w:rsid w:val="33742DCE"/>
    <w:rsid w:val="3377041C"/>
    <w:rsid w:val="3380076E"/>
    <w:rsid w:val="33842139"/>
    <w:rsid w:val="33975AE0"/>
    <w:rsid w:val="339A4201"/>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03A4A"/>
    <w:rsid w:val="33F2456A"/>
    <w:rsid w:val="33FA572B"/>
    <w:rsid w:val="3403379A"/>
    <w:rsid w:val="34073C1D"/>
    <w:rsid w:val="340A64CB"/>
    <w:rsid w:val="340E41A0"/>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2226C"/>
    <w:rsid w:val="346A1BB2"/>
    <w:rsid w:val="346E738B"/>
    <w:rsid w:val="34785CD4"/>
    <w:rsid w:val="347875C9"/>
    <w:rsid w:val="347B0E37"/>
    <w:rsid w:val="347D1349"/>
    <w:rsid w:val="347F046C"/>
    <w:rsid w:val="34834A93"/>
    <w:rsid w:val="34874A0D"/>
    <w:rsid w:val="348A7E6B"/>
    <w:rsid w:val="349A1CDD"/>
    <w:rsid w:val="349C27BA"/>
    <w:rsid w:val="34A14FAB"/>
    <w:rsid w:val="34A46ADA"/>
    <w:rsid w:val="34A723E9"/>
    <w:rsid w:val="34A86EFC"/>
    <w:rsid w:val="34B2523D"/>
    <w:rsid w:val="34B358E1"/>
    <w:rsid w:val="34B60803"/>
    <w:rsid w:val="34B72433"/>
    <w:rsid w:val="34B967A5"/>
    <w:rsid w:val="34C037F6"/>
    <w:rsid w:val="34CC14A4"/>
    <w:rsid w:val="34CF701B"/>
    <w:rsid w:val="34D27DC6"/>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2F5D8F"/>
    <w:rsid w:val="3531792A"/>
    <w:rsid w:val="35450042"/>
    <w:rsid w:val="354F0611"/>
    <w:rsid w:val="35503194"/>
    <w:rsid w:val="3552267E"/>
    <w:rsid w:val="35580193"/>
    <w:rsid w:val="355A5E02"/>
    <w:rsid w:val="356276AD"/>
    <w:rsid w:val="35675BE6"/>
    <w:rsid w:val="356B5ADC"/>
    <w:rsid w:val="357706DE"/>
    <w:rsid w:val="35856351"/>
    <w:rsid w:val="358A11C4"/>
    <w:rsid w:val="358D4F45"/>
    <w:rsid w:val="35940857"/>
    <w:rsid w:val="35955E66"/>
    <w:rsid w:val="3595612F"/>
    <w:rsid w:val="359F7506"/>
    <w:rsid w:val="35A444A3"/>
    <w:rsid w:val="35A84558"/>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A3CF3"/>
    <w:rsid w:val="35FE5605"/>
    <w:rsid w:val="35FF189A"/>
    <w:rsid w:val="36013E8A"/>
    <w:rsid w:val="360219E2"/>
    <w:rsid w:val="36044720"/>
    <w:rsid w:val="360A1CD4"/>
    <w:rsid w:val="361203A7"/>
    <w:rsid w:val="3614405A"/>
    <w:rsid w:val="3615173C"/>
    <w:rsid w:val="3619343A"/>
    <w:rsid w:val="361C631E"/>
    <w:rsid w:val="361C723C"/>
    <w:rsid w:val="361E5F79"/>
    <w:rsid w:val="361F0B5A"/>
    <w:rsid w:val="36255FE7"/>
    <w:rsid w:val="362F44EC"/>
    <w:rsid w:val="363139D2"/>
    <w:rsid w:val="36380784"/>
    <w:rsid w:val="363A6D22"/>
    <w:rsid w:val="365C692E"/>
    <w:rsid w:val="3664672E"/>
    <w:rsid w:val="3668392E"/>
    <w:rsid w:val="36684B85"/>
    <w:rsid w:val="36694323"/>
    <w:rsid w:val="367A12DB"/>
    <w:rsid w:val="36847D86"/>
    <w:rsid w:val="36871919"/>
    <w:rsid w:val="368D0336"/>
    <w:rsid w:val="36993AD8"/>
    <w:rsid w:val="369C1413"/>
    <w:rsid w:val="369E16D7"/>
    <w:rsid w:val="36A03498"/>
    <w:rsid w:val="36A11F1D"/>
    <w:rsid w:val="36B1241E"/>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C7F87"/>
    <w:rsid w:val="36FF6DEB"/>
    <w:rsid w:val="37047996"/>
    <w:rsid w:val="37072335"/>
    <w:rsid w:val="370D1324"/>
    <w:rsid w:val="370E78C8"/>
    <w:rsid w:val="371015D4"/>
    <w:rsid w:val="37144AD8"/>
    <w:rsid w:val="371465B0"/>
    <w:rsid w:val="37166AC5"/>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47A67"/>
    <w:rsid w:val="37B532ED"/>
    <w:rsid w:val="37B95AF7"/>
    <w:rsid w:val="37BC1250"/>
    <w:rsid w:val="37C069DE"/>
    <w:rsid w:val="37C13ADD"/>
    <w:rsid w:val="37C37873"/>
    <w:rsid w:val="37C615E0"/>
    <w:rsid w:val="37C64010"/>
    <w:rsid w:val="37CA282F"/>
    <w:rsid w:val="37CB1389"/>
    <w:rsid w:val="37D005B2"/>
    <w:rsid w:val="37DB3239"/>
    <w:rsid w:val="37DB6C63"/>
    <w:rsid w:val="37DC1D8E"/>
    <w:rsid w:val="37DE1511"/>
    <w:rsid w:val="37E55573"/>
    <w:rsid w:val="37E65A28"/>
    <w:rsid w:val="37EB49EA"/>
    <w:rsid w:val="37F6698B"/>
    <w:rsid w:val="37F8564D"/>
    <w:rsid w:val="38084B1D"/>
    <w:rsid w:val="38085331"/>
    <w:rsid w:val="38114349"/>
    <w:rsid w:val="3812501F"/>
    <w:rsid w:val="381603A1"/>
    <w:rsid w:val="38160CEE"/>
    <w:rsid w:val="381A2672"/>
    <w:rsid w:val="381F275F"/>
    <w:rsid w:val="38252A43"/>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22DB8"/>
    <w:rsid w:val="38C31B7A"/>
    <w:rsid w:val="38C449E2"/>
    <w:rsid w:val="38CD0220"/>
    <w:rsid w:val="38D2274D"/>
    <w:rsid w:val="38D714FD"/>
    <w:rsid w:val="38D71A00"/>
    <w:rsid w:val="38D83DA4"/>
    <w:rsid w:val="38D97BB5"/>
    <w:rsid w:val="38DC7A1B"/>
    <w:rsid w:val="38DD06D2"/>
    <w:rsid w:val="38E4037F"/>
    <w:rsid w:val="38E45C59"/>
    <w:rsid w:val="38E94D65"/>
    <w:rsid w:val="38F35FC8"/>
    <w:rsid w:val="38F73A4C"/>
    <w:rsid w:val="38F904F0"/>
    <w:rsid w:val="38FC70E7"/>
    <w:rsid w:val="390429EC"/>
    <w:rsid w:val="390E729C"/>
    <w:rsid w:val="39123E52"/>
    <w:rsid w:val="39126A08"/>
    <w:rsid w:val="391709C1"/>
    <w:rsid w:val="391F1FF5"/>
    <w:rsid w:val="39231158"/>
    <w:rsid w:val="392B6C66"/>
    <w:rsid w:val="39341084"/>
    <w:rsid w:val="393E07AB"/>
    <w:rsid w:val="393E293F"/>
    <w:rsid w:val="394E5050"/>
    <w:rsid w:val="39506734"/>
    <w:rsid w:val="395A6D19"/>
    <w:rsid w:val="395D0E21"/>
    <w:rsid w:val="39623B52"/>
    <w:rsid w:val="397061BB"/>
    <w:rsid w:val="397319FF"/>
    <w:rsid w:val="39731B12"/>
    <w:rsid w:val="39761C84"/>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23690"/>
    <w:rsid w:val="39FA1CF1"/>
    <w:rsid w:val="39FA4160"/>
    <w:rsid w:val="3A001D3B"/>
    <w:rsid w:val="3A016BF0"/>
    <w:rsid w:val="3A0B5E9C"/>
    <w:rsid w:val="3A0C1916"/>
    <w:rsid w:val="3A191E0E"/>
    <w:rsid w:val="3A1C597D"/>
    <w:rsid w:val="3A1C71BF"/>
    <w:rsid w:val="3A2C3BA6"/>
    <w:rsid w:val="3A2E3AF5"/>
    <w:rsid w:val="3A3539DC"/>
    <w:rsid w:val="3A3D4D53"/>
    <w:rsid w:val="3A4C45A1"/>
    <w:rsid w:val="3A544F6C"/>
    <w:rsid w:val="3A577ADC"/>
    <w:rsid w:val="3A5914F9"/>
    <w:rsid w:val="3A5F3F5A"/>
    <w:rsid w:val="3A6D66ED"/>
    <w:rsid w:val="3A7116FC"/>
    <w:rsid w:val="3A736A4A"/>
    <w:rsid w:val="3A76541F"/>
    <w:rsid w:val="3A7D75EF"/>
    <w:rsid w:val="3A881F93"/>
    <w:rsid w:val="3A8B176E"/>
    <w:rsid w:val="3A8D11CC"/>
    <w:rsid w:val="3A977393"/>
    <w:rsid w:val="3A9A07D3"/>
    <w:rsid w:val="3A9C50AA"/>
    <w:rsid w:val="3AA312D0"/>
    <w:rsid w:val="3AA53D1A"/>
    <w:rsid w:val="3AAF36AE"/>
    <w:rsid w:val="3AB06715"/>
    <w:rsid w:val="3AB3042E"/>
    <w:rsid w:val="3ABD068E"/>
    <w:rsid w:val="3AC351F1"/>
    <w:rsid w:val="3AC91008"/>
    <w:rsid w:val="3ACB36E9"/>
    <w:rsid w:val="3ACB7871"/>
    <w:rsid w:val="3ACE6056"/>
    <w:rsid w:val="3AD028B4"/>
    <w:rsid w:val="3AD34546"/>
    <w:rsid w:val="3AD847A7"/>
    <w:rsid w:val="3ADA3867"/>
    <w:rsid w:val="3AE15E3F"/>
    <w:rsid w:val="3AE16B53"/>
    <w:rsid w:val="3AEC72C2"/>
    <w:rsid w:val="3AEF76B1"/>
    <w:rsid w:val="3AF27012"/>
    <w:rsid w:val="3B0114CC"/>
    <w:rsid w:val="3B0476DE"/>
    <w:rsid w:val="3B050C15"/>
    <w:rsid w:val="3B1055B6"/>
    <w:rsid w:val="3B112207"/>
    <w:rsid w:val="3B112F57"/>
    <w:rsid w:val="3B150877"/>
    <w:rsid w:val="3B177760"/>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0784F"/>
    <w:rsid w:val="3BD42567"/>
    <w:rsid w:val="3BD82617"/>
    <w:rsid w:val="3BDB327D"/>
    <w:rsid w:val="3BE6069B"/>
    <w:rsid w:val="3BE910A1"/>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5687F"/>
    <w:rsid w:val="3C573826"/>
    <w:rsid w:val="3C5A0649"/>
    <w:rsid w:val="3C6A6E3E"/>
    <w:rsid w:val="3C6B4CE4"/>
    <w:rsid w:val="3C6C1257"/>
    <w:rsid w:val="3C6D4F86"/>
    <w:rsid w:val="3C6E4611"/>
    <w:rsid w:val="3C6F5C49"/>
    <w:rsid w:val="3C735075"/>
    <w:rsid w:val="3C77244A"/>
    <w:rsid w:val="3C783F6C"/>
    <w:rsid w:val="3C7A543E"/>
    <w:rsid w:val="3C7C018F"/>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CC7524"/>
    <w:rsid w:val="3CD81277"/>
    <w:rsid w:val="3CD927D3"/>
    <w:rsid w:val="3CDC73D2"/>
    <w:rsid w:val="3CDD19EF"/>
    <w:rsid w:val="3CE03540"/>
    <w:rsid w:val="3CE35325"/>
    <w:rsid w:val="3CF012B5"/>
    <w:rsid w:val="3CF10224"/>
    <w:rsid w:val="3CF80D73"/>
    <w:rsid w:val="3D03717F"/>
    <w:rsid w:val="3D05649D"/>
    <w:rsid w:val="3D0E2650"/>
    <w:rsid w:val="3D0E7B96"/>
    <w:rsid w:val="3D125375"/>
    <w:rsid w:val="3D2558DA"/>
    <w:rsid w:val="3D2D70F2"/>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806AC3"/>
    <w:rsid w:val="3D8438BD"/>
    <w:rsid w:val="3D8B02DF"/>
    <w:rsid w:val="3D9E5E72"/>
    <w:rsid w:val="3DA009B3"/>
    <w:rsid w:val="3DA009CC"/>
    <w:rsid w:val="3DA13551"/>
    <w:rsid w:val="3DA3195E"/>
    <w:rsid w:val="3DA54FB2"/>
    <w:rsid w:val="3DA5644E"/>
    <w:rsid w:val="3DB6531E"/>
    <w:rsid w:val="3DB72CDE"/>
    <w:rsid w:val="3DB9249A"/>
    <w:rsid w:val="3DBC3CE2"/>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C1272"/>
    <w:rsid w:val="3E0328BF"/>
    <w:rsid w:val="3E0F1CFB"/>
    <w:rsid w:val="3E111D45"/>
    <w:rsid w:val="3E1565B5"/>
    <w:rsid w:val="3E1B0CF6"/>
    <w:rsid w:val="3E1B763A"/>
    <w:rsid w:val="3E1D490C"/>
    <w:rsid w:val="3E1F6422"/>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F076C8"/>
    <w:rsid w:val="3EF27B82"/>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13BD8"/>
    <w:rsid w:val="3F2228BB"/>
    <w:rsid w:val="3F226825"/>
    <w:rsid w:val="3F2A5507"/>
    <w:rsid w:val="3F2C65EA"/>
    <w:rsid w:val="3F3477A8"/>
    <w:rsid w:val="3F3B6E0A"/>
    <w:rsid w:val="3F3F1578"/>
    <w:rsid w:val="3F484DDE"/>
    <w:rsid w:val="3F495688"/>
    <w:rsid w:val="3F505F3F"/>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45D31"/>
    <w:rsid w:val="3FFB7550"/>
    <w:rsid w:val="3FFF6A7C"/>
    <w:rsid w:val="40040E62"/>
    <w:rsid w:val="400C5918"/>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B3C67"/>
    <w:rsid w:val="405C46EC"/>
    <w:rsid w:val="405C4E3B"/>
    <w:rsid w:val="40770AC9"/>
    <w:rsid w:val="40777B57"/>
    <w:rsid w:val="40791E0C"/>
    <w:rsid w:val="407B5438"/>
    <w:rsid w:val="407D7B0B"/>
    <w:rsid w:val="408550F0"/>
    <w:rsid w:val="408A4409"/>
    <w:rsid w:val="408F04FF"/>
    <w:rsid w:val="40933A21"/>
    <w:rsid w:val="40953B65"/>
    <w:rsid w:val="40991B5A"/>
    <w:rsid w:val="409A137C"/>
    <w:rsid w:val="40A34B97"/>
    <w:rsid w:val="40A56CD8"/>
    <w:rsid w:val="40A62CBC"/>
    <w:rsid w:val="40A74477"/>
    <w:rsid w:val="40A75108"/>
    <w:rsid w:val="40AB14CD"/>
    <w:rsid w:val="40AD3B25"/>
    <w:rsid w:val="40AF577A"/>
    <w:rsid w:val="40B52843"/>
    <w:rsid w:val="40B62E81"/>
    <w:rsid w:val="40B71100"/>
    <w:rsid w:val="40B8270B"/>
    <w:rsid w:val="40C45878"/>
    <w:rsid w:val="40C4645B"/>
    <w:rsid w:val="40C5600E"/>
    <w:rsid w:val="40D31762"/>
    <w:rsid w:val="40D42663"/>
    <w:rsid w:val="40D52670"/>
    <w:rsid w:val="40DB5285"/>
    <w:rsid w:val="40DC200C"/>
    <w:rsid w:val="40E75767"/>
    <w:rsid w:val="40E8328F"/>
    <w:rsid w:val="40E94E3D"/>
    <w:rsid w:val="40F31A37"/>
    <w:rsid w:val="410419ED"/>
    <w:rsid w:val="410727A8"/>
    <w:rsid w:val="410E1F87"/>
    <w:rsid w:val="410E261A"/>
    <w:rsid w:val="410F7AAD"/>
    <w:rsid w:val="411557D9"/>
    <w:rsid w:val="41175358"/>
    <w:rsid w:val="411811D5"/>
    <w:rsid w:val="411E3120"/>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6D169B"/>
    <w:rsid w:val="41763955"/>
    <w:rsid w:val="417769F6"/>
    <w:rsid w:val="41803DA8"/>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27AF9"/>
    <w:rsid w:val="41BB3C07"/>
    <w:rsid w:val="41BE631A"/>
    <w:rsid w:val="41C34B5E"/>
    <w:rsid w:val="41C36863"/>
    <w:rsid w:val="41C52310"/>
    <w:rsid w:val="41CC3FBF"/>
    <w:rsid w:val="41CE5F9C"/>
    <w:rsid w:val="41D66E7D"/>
    <w:rsid w:val="41DC21AD"/>
    <w:rsid w:val="41DC48D7"/>
    <w:rsid w:val="41E76E0D"/>
    <w:rsid w:val="41F4618E"/>
    <w:rsid w:val="41FA376E"/>
    <w:rsid w:val="41FE6CB2"/>
    <w:rsid w:val="420556C8"/>
    <w:rsid w:val="4214720F"/>
    <w:rsid w:val="4217488D"/>
    <w:rsid w:val="421D7B36"/>
    <w:rsid w:val="422345EF"/>
    <w:rsid w:val="42240668"/>
    <w:rsid w:val="4226137B"/>
    <w:rsid w:val="422A1E24"/>
    <w:rsid w:val="422A6940"/>
    <w:rsid w:val="422E486B"/>
    <w:rsid w:val="423400A6"/>
    <w:rsid w:val="424763C8"/>
    <w:rsid w:val="424C78FC"/>
    <w:rsid w:val="424F538D"/>
    <w:rsid w:val="42582F93"/>
    <w:rsid w:val="425A4600"/>
    <w:rsid w:val="4265286C"/>
    <w:rsid w:val="42690B24"/>
    <w:rsid w:val="427378E6"/>
    <w:rsid w:val="427C184E"/>
    <w:rsid w:val="42890C2F"/>
    <w:rsid w:val="428B14DB"/>
    <w:rsid w:val="42924E8D"/>
    <w:rsid w:val="42982BA6"/>
    <w:rsid w:val="429A3DA7"/>
    <w:rsid w:val="429F313B"/>
    <w:rsid w:val="429F6653"/>
    <w:rsid w:val="42A874B7"/>
    <w:rsid w:val="42AC06F3"/>
    <w:rsid w:val="42AF3F58"/>
    <w:rsid w:val="42B302EA"/>
    <w:rsid w:val="42B61338"/>
    <w:rsid w:val="42B90AAB"/>
    <w:rsid w:val="42C5009E"/>
    <w:rsid w:val="42C92A69"/>
    <w:rsid w:val="42C96A82"/>
    <w:rsid w:val="42CF6EF1"/>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CC65EC"/>
    <w:rsid w:val="43D34204"/>
    <w:rsid w:val="43DC6ACC"/>
    <w:rsid w:val="43DD04DA"/>
    <w:rsid w:val="43E232E1"/>
    <w:rsid w:val="43E567A6"/>
    <w:rsid w:val="43F84F4E"/>
    <w:rsid w:val="43FF5CEF"/>
    <w:rsid w:val="44064267"/>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20312"/>
    <w:rsid w:val="443827F3"/>
    <w:rsid w:val="44385474"/>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10866"/>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655DE"/>
    <w:rsid w:val="45080466"/>
    <w:rsid w:val="450C4F28"/>
    <w:rsid w:val="45173262"/>
    <w:rsid w:val="452378EF"/>
    <w:rsid w:val="4524750B"/>
    <w:rsid w:val="45286865"/>
    <w:rsid w:val="452B4AF6"/>
    <w:rsid w:val="452B5E55"/>
    <w:rsid w:val="452F2E18"/>
    <w:rsid w:val="4532333B"/>
    <w:rsid w:val="45327B09"/>
    <w:rsid w:val="45380A36"/>
    <w:rsid w:val="4541568B"/>
    <w:rsid w:val="454A79CA"/>
    <w:rsid w:val="454F23C2"/>
    <w:rsid w:val="45500C3F"/>
    <w:rsid w:val="455A0801"/>
    <w:rsid w:val="45691AFB"/>
    <w:rsid w:val="456C4D31"/>
    <w:rsid w:val="456E2A10"/>
    <w:rsid w:val="45743CAB"/>
    <w:rsid w:val="4579584D"/>
    <w:rsid w:val="457E33F2"/>
    <w:rsid w:val="45827A46"/>
    <w:rsid w:val="45832D31"/>
    <w:rsid w:val="45845D00"/>
    <w:rsid w:val="45871AE5"/>
    <w:rsid w:val="45896527"/>
    <w:rsid w:val="458C06D4"/>
    <w:rsid w:val="459709F5"/>
    <w:rsid w:val="459933CD"/>
    <w:rsid w:val="459D5ED9"/>
    <w:rsid w:val="459D66FF"/>
    <w:rsid w:val="459F60B5"/>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A1BEA"/>
    <w:rsid w:val="45FA6491"/>
    <w:rsid w:val="45FC4C31"/>
    <w:rsid w:val="460065CE"/>
    <w:rsid w:val="4601021B"/>
    <w:rsid w:val="46055C3D"/>
    <w:rsid w:val="460B5599"/>
    <w:rsid w:val="46164ED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5B6D8A"/>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661C8"/>
    <w:rsid w:val="46F72E75"/>
    <w:rsid w:val="46FA0AF3"/>
    <w:rsid w:val="46FA6986"/>
    <w:rsid w:val="46FD13DF"/>
    <w:rsid w:val="46FD6193"/>
    <w:rsid w:val="46FF0DBC"/>
    <w:rsid w:val="47091A3A"/>
    <w:rsid w:val="470A692B"/>
    <w:rsid w:val="470E654E"/>
    <w:rsid w:val="471B736C"/>
    <w:rsid w:val="47235B2C"/>
    <w:rsid w:val="472748E0"/>
    <w:rsid w:val="472C7D50"/>
    <w:rsid w:val="472E2DEC"/>
    <w:rsid w:val="473026ED"/>
    <w:rsid w:val="47324C7B"/>
    <w:rsid w:val="47353CDE"/>
    <w:rsid w:val="4738492A"/>
    <w:rsid w:val="473916F7"/>
    <w:rsid w:val="473A3AD8"/>
    <w:rsid w:val="4741594F"/>
    <w:rsid w:val="47461A19"/>
    <w:rsid w:val="474937AF"/>
    <w:rsid w:val="474B033A"/>
    <w:rsid w:val="474E3CCE"/>
    <w:rsid w:val="474E6EC0"/>
    <w:rsid w:val="475330F3"/>
    <w:rsid w:val="475A014C"/>
    <w:rsid w:val="475F52A5"/>
    <w:rsid w:val="476555EA"/>
    <w:rsid w:val="476E63C6"/>
    <w:rsid w:val="47701E1E"/>
    <w:rsid w:val="478349BA"/>
    <w:rsid w:val="478D02EE"/>
    <w:rsid w:val="47913274"/>
    <w:rsid w:val="479333F5"/>
    <w:rsid w:val="479615B0"/>
    <w:rsid w:val="479663D7"/>
    <w:rsid w:val="47974EBF"/>
    <w:rsid w:val="47984CC8"/>
    <w:rsid w:val="479C0703"/>
    <w:rsid w:val="47A40CC6"/>
    <w:rsid w:val="47A67489"/>
    <w:rsid w:val="47AE368F"/>
    <w:rsid w:val="47BB1F5D"/>
    <w:rsid w:val="47BD7E3A"/>
    <w:rsid w:val="47D72108"/>
    <w:rsid w:val="47D754ED"/>
    <w:rsid w:val="47D76BDC"/>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331A9"/>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CE284C"/>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937E7"/>
    <w:rsid w:val="495B30CC"/>
    <w:rsid w:val="496037A6"/>
    <w:rsid w:val="49617ED5"/>
    <w:rsid w:val="49624F2D"/>
    <w:rsid w:val="496602C1"/>
    <w:rsid w:val="4969430E"/>
    <w:rsid w:val="496D3F98"/>
    <w:rsid w:val="49704B16"/>
    <w:rsid w:val="49712D93"/>
    <w:rsid w:val="49747B75"/>
    <w:rsid w:val="497C4012"/>
    <w:rsid w:val="49822362"/>
    <w:rsid w:val="49824952"/>
    <w:rsid w:val="49831A30"/>
    <w:rsid w:val="498450C2"/>
    <w:rsid w:val="49856FBD"/>
    <w:rsid w:val="49871D7B"/>
    <w:rsid w:val="49885C59"/>
    <w:rsid w:val="498A257F"/>
    <w:rsid w:val="4995687C"/>
    <w:rsid w:val="4998544E"/>
    <w:rsid w:val="499D4802"/>
    <w:rsid w:val="49A45FDD"/>
    <w:rsid w:val="49A61B96"/>
    <w:rsid w:val="49B20B48"/>
    <w:rsid w:val="49B55D27"/>
    <w:rsid w:val="49B83EAA"/>
    <w:rsid w:val="49C060D9"/>
    <w:rsid w:val="49C67DAB"/>
    <w:rsid w:val="49C7764E"/>
    <w:rsid w:val="49CA0E39"/>
    <w:rsid w:val="49D83A18"/>
    <w:rsid w:val="49D8668C"/>
    <w:rsid w:val="49DB3A45"/>
    <w:rsid w:val="49E73C0B"/>
    <w:rsid w:val="49E92B16"/>
    <w:rsid w:val="49EC1B26"/>
    <w:rsid w:val="49FA1359"/>
    <w:rsid w:val="49FC7FA2"/>
    <w:rsid w:val="4A017C98"/>
    <w:rsid w:val="4A042139"/>
    <w:rsid w:val="4A080E5C"/>
    <w:rsid w:val="4A1C1EE0"/>
    <w:rsid w:val="4A1D0A93"/>
    <w:rsid w:val="4A210B7E"/>
    <w:rsid w:val="4A2D197A"/>
    <w:rsid w:val="4A334BFC"/>
    <w:rsid w:val="4A335E86"/>
    <w:rsid w:val="4A357040"/>
    <w:rsid w:val="4A3B0DBF"/>
    <w:rsid w:val="4A3C074A"/>
    <w:rsid w:val="4A3C3645"/>
    <w:rsid w:val="4A401246"/>
    <w:rsid w:val="4A417E42"/>
    <w:rsid w:val="4A4A2364"/>
    <w:rsid w:val="4A4A5C96"/>
    <w:rsid w:val="4A4C22EF"/>
    <w:rsid w:val="4A4D22CF"/>
    <w:rsid w:val="4A535B24"/>
    <w:rsid w:val="4A545D35"/>
    <w:rsid w:val="4A58603B"/>
    <w:rsid w:val="4A5B7FD1"/>
    <w:rsid w:val="4A672F5C"/>
    <w:rsid w:val="4A682857"/>
    <w:rsid w:val="4A6B5A84"/>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34828"/>
    <w:rsid w:val="4AAA4B07"/>
    <w:rsid w:val="4AB00A30"/>
    <w:rsid w:val="4ABA7F00"/>
    <w:rsid w:val="4ABD69FD"/>
    <w:rsid w:val="4ABD6D28"/>
    <w:rsid w:val="4AC740F5"/>
    <w:rsid w:val="4ACB13CF"/>
    <w:rsid w:val="4ACC69CB"/>
    <w:rsid w:val="4AD057B7"/>
    <w:rsid w:val="4ADD25FB"/>
    <w:rsid w:val="4ADE4335"/>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23CB4"/>
    <w:rsid w:val="4B687FD4"/>
    <w:rsid w:val="4B741C5B"/>
    <w:rsid w:val="4B751079"/>
    <w:rsid w:val="4B811257"/>
    <w:rsid w:val="4B816993"/>
    <w:rsid w:val="4B83233B"/>
    <w:rsid w:val="4B924716"/>
    <w:rsid w:val="4B9419F7"/>
    <w:rsid w:val="4B9E2880"/>
    <w:rsid w:val="4B9E74AF"/>
    <w:rsid w:val="4BA66C06"/>
    <w:rsid w:val="4BA96810"/>
    <w:rsid w:val="4BAC02EC"/>
    <w:rsid w:val="4BAD645F"/>
    <w:rsid w:val="4BAE62F5"/>
    <w:rsid w:val="4BB75525"/>
    <w:rsid w:val="4BBA7DD7"/>
    <w:rsid w:val="4BBE10A9"/>
    <w:rsid w:val="4BC11F3B"/>
    <w:rsid w:val="4BC165A1"/>
    <w:rsid w:val="4BCA3A69"/>
    <w:rsid w:val="4BCE1362"/>
    <w:rsid w:val="4BD62466"/>
    <w:rsid w:val="4BD77E92"/>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3B3D50"/>
    <w:rsid w:val="4C443324"/>
    <w:rsid w:val="4C49535A"/>
    <w:rsid w:val="4C4A1538"/>
    <w:rsid w:val="4C4B5CF1"/>
    <w:rsid w:val="4C4C000A"/>
    <w:rsid w:val="4C4C2AC7"/>
    <w:rsid w:val="4C4E507A"/>
    <w:rsid w:val="4C502726"/>
    <w:rsid w:val="4C5222E0"/>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D4E3B"/>
    <w:rsid w:val="4CA74125"/>
    <w:rsid w:val="4CA777A5"/>
    <w:rsid w:val="4CAD1D03"/>
    <w:rsid w:val="4CB66742"/>
    <w:rsid w:val="4CB77F7C"/>
    <w:rsid w:val="4CB81B12"/>
    <w:rsid w:val="4CBB3607"/>
    <w:rsid w:val="4CBE4327"/>
    <w:rsid w:val="4CC132B4"/>
    <w:rsid w:val="4CC33E38"/>
    <w:rsid w:val="4CCF711C"/>
    <w:rsid w:val="4CD50CA4"/>
    <w:rsid w:val="4CD652AC"/>
    <w:rsid w:val="4CD91FE0"/>
    <w:rsid w:val="4CDE493D"/>
    <w:rsid w:val="4CDF1E61"/>
    <w:rsid w:val="4CE1210C"/>
    <w:rsid w:val="4CE71987"/>
    <w:rsid w:val="4CE953A1"/>
    <w:rsid w:val="4CEA05FD"/>
    <w:rsid w:val="4CEC147B"/>
    <w:rsid w:val="4CEE2310"/>
    <w:rsid w:val="4CF21274"/>
    <w:rsid w:val="4CFD663F"/>
    <w:rsid w:val="4D042D6A"/>
    <w:rsid w:val="4D074256"/>
    <w:rsid w:val="4D0B4433"/>
    <w:rsid w:val="4D186AB8"/>
    <w:rsid w:val="4D2273DF"/>
    <w:rsid w:val="4D243C2E"/>
    <w:rsid w:val="4D2D3744"/>
    <w:rsid w:val="4D2D48CF"/>
    <w:rsid w:val="4D2D7483"/>
    <w:rsid w:val="4D2D7C2A"/>
    <w:rsid w:val="4D351020"/>
    <w:rsid w:val="4D357B50"/>
    <w:rsid w:val="4D3B0776"/>
    <w:rsid w:val="4D3B78D6"/>
    <w:rsid w:val="4D3C6DD0"/>
    <w:rsid w:val="4D452E9A"/>
    <w:rsid w:val="4D4E1B73"/>
    <w:rsid w:val="4D501E9E"/>
    <w:rsid w:val="4D5545A3"/>
    <w:rsid w:val="4D56242D"/>
    <w:rsid w:val="4D5E313C"/>
    <w:rsid w:val="4D60132F"/>
    <w:rsid w:val="4D63794E"/>
    <w:rsid w:val="4D69275F"/>
    <w:rsid w:val="4D696340"/>
    <w:rsid w:val="4D6E1562"/>
    <w:rsid w:val="4D6E2B65"/>
    <w:rsid w:val="4D6F76F6"/>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1738F"/>
    <w:rsid w:val="4DC92356"/>
    <w:rsid w:val="4DC945C5"/>
    <w:rsid w:val="4DCC1254"/>
    <w:rsid w:val="4DD6753F"/>
    <w:rsid w:val="4DE100E7"/>
    <w:rsid w:val="4DE52367"/>
    <w:rsid w:val="4DE66030"/>
    <w:rsid w:val="4DF57D5B"/>
    <w:rsid w:val="4DFB4AE2"/>
    <w:rsid w:val="4DFF0566"/>
    <w:rsid w:val="4E0D58F7"/>
    <w:rsid w:val="4E101469"/>
    <w:rsid w:val="4E170C0E"/>
    <w:rsid w:val="4E17118C"/>
    <w:rsid w:val="4E226FA9"/>
    <w:rsid w:val="4E2B2FCF"/>
    <w:rsid w:val="4E333BB5"/>
    <w:rsid w:val="4E357F6B"/>
    <w:rsid w:val="4E371BF7"/>
    <w:rsid w:val="4E3D26A2"/>
    <w:rsid w:val="4E3D688F"/>
    <w:rsid w:val="4E3E6E2C"/>
    <w:rsid w:val="4E44293C"/>
    <w:rsid w:val="4E467BC9"/>
    <w:rsid w:val="4E490B45"/>
    <w:rsid w:val="4E5C715A"/>
    <w:rsid w:val="4E5F36B7"/>
    <w:rsid w:val="4E6C617F"/>
    <w:rsid w:val="4E762F41"/>
    <w:rsid w:val="4E776518"/>
    <w:rsid w:val="4E7964A9"/>
    <w:rsid w:val="4E7D7378"/>
    <w:rsid w:val="4E7F10F7"/>
    <w:rsid w:val="4E813DDC"/>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40EDE"/>
    <w:rsid w:val="4EC82468"/>
    <w:rsid w:val="4ECB4BBA"/>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6E9E"/>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0078E"/>
    <w:rsid w:val="4F636456"/>
    <w:rsid w:val="4F727B71"/>
    <w:rsid w:val="4F7457B4"/>
    <w:rsid w:val="4F7B78F2"/>
    <w:rsid w:val="4F7F2C82"/>
    <w:rsid w:val="4F874785"/>
    <w:rsid w:val="4F885556"/>
    <w:rsid w:val="4F8906F1"/>
    <w:rsid w:val="4F8C1C07"/>
    <w:rsid w:val="4F8C6DE9"/>
    <w:rsid w:val="4F94645F"/>
    <w:rsid w:val="4F956923"/>
    <w:rsid w:val="4F976963"/>
    <w:rsid w:val="4F9C0E3D"/>
    <w:rsid w:val="4F9E3A19"/>
    <w:rsid w:val="4FA057FA"/>
    <w:rsid w:val="4FA50BF5"/>
    <w:rsid w:val="4FAB3195"/>
    <w:rsid w:val="4FAE1C5C"/>
    <w:rsid w:val="4FAE2769"/>
    <w:rsid w:val="4FAF30C3"/>
    <w:rsid w:val="4FB30E7E"/>
    <w:rsid w:val="4FBA0D2B"/>
    <w:rsid w:val="4FBA5296"/>
    <w:rsid w:val="4FBC045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21442D"/>
    <w:rsid w:val="502226B7"/>
    <w:rsid w:val="5027727A"/>
    <w:rsid w:val="50290847"/>
    <w:rsid w:val="503175D5"/>
    <w:rsid w:val="5034215C"/>
    <w:rsid w:val="503625F2"/>
    <w:rsid w:val="503A6544"/>
    <w:rsid w:val="503C53AC"/>
    <w:rsid w:val="50440EE8"/>
    <w:rsid w:val="50454E86"/>
    <w:rsid w:val="5046799C"/>
    <w:rsid w:val="50535CB7"/>
    <w:rsid w:val="505A42A1"/>
    <w:rsid w:val="505B684C"/>
    <w:rsid w:val="50632D07"/>
    <w:rsid w:val="50697F59"/>
    <w:rsid w:val="506F5D77"/>
    <w:rsid w:val="50710328"/>
    <w:rsid w:val="50715A85"/>
    <w:rsid w:val="50734618"/>
    <w:rsid w:val="5073496F"/>
    <w:rsid w:val="50984F82"/>
    <w:rsid w:val="509B0639"/>
    <w:rsid w:val="509E1153"/>
    <w:rsid w:val="50A22AE8"/>
    <w:rsid w:val="50AD52AF"/>
    <w:rsid w:val="50AF564D"/>
    <w:rsid w:val="50B66209"/>
    <w:rsid w:val="50B91558"/>
    <w:rsid w:val="50BA1C5D"/>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2668F9"/>
    <w:rsid w:val="51285BBF"/>
    <w:rsid w:val="5133763C"/>
    <w:rsid w:val="51352804"/>
    <w:rsid w:val="51393A83"/>
    <w:rsid w:val="513B3DF9"/>
    <w:rsid w:val="51401B57"/>
    <w:rsid w:val="51480A97"/>
    <w:rsid w:val="51540609"/>
    <w:rsid w:val="516B021D"/>
    <w:rsid w:val="51724F8D"/>
    <w:rsid w:val="51756972"/>
    <w:rsid w:val="517A0B2A"/>
    <w:rsid w:val="517E1E1F"/>
    <w:rsid w:val="51813564"/>
    <w:rsid w:val="518167F0"/>
    <w:rsid w:val="51844B36"/>
    <w:rsid w:val="518822DB"/>
    <w:rsid w:val="51896510"/>
    <w:rsid w:val="518B1B6A"/>
    <w:rsid w:val="518B739B"/>
    <w:rsid w:val="519410BA"/>
    <w:rsid w:val="51965D8A"/>
    <w:rsid w:val="519F1F6B"/>
    <w:rsid w:val="51AB65B4"/>
    <w:rsid w:val="51B66A68"/>
    <w:rsid w:val="51B8132D"/>
    <w:rsid w:val="51BC09C0"/>
    <w:rsid w:val="51BD7EC2"/>
    <w:rsid w:val="51C44E72"/>
    <w:rsid w:val="51CC7C75"/>
    <w:rsid w:val="51CD5E2E"/>
    <w:rsid w:val="51D00AA7"/>
    <w:rsid w:val="51D05768"/>
    <w:rsid w:val="51D34DB4"/>
    <w:rsid w:val="51DA0FA7"/>
    <w:rsid w:val="51E3602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7336B"/>
    <w:rsid w:val="524A5C68"/>
    <w:rsid w:val="52532968"/>
    <w:rsid w:val="52546140"/>
    <w:rsid w:val="525C788D"/>
    <w:rsid w:val="525D3774"/>
    <w:rsid w:val="525D5F17"/>
    <w:rsid w:val="525F53B1"/>
    <w:rsid w:val="52643DC8"/>
    <w:rsid w:val="526D0958"/>
    <w:rsid w:val="52734368"/>
    <w:rsid w:val="527A3BA6"/>
    <w:rsid w:val="52836832"/>
    <w:rsid w:val="52924B44"/>
    <w:rsid w:val="529A7E86"/>
    <w:rsid w:val="52AD4907"/>
    <w:rsid w:val="52AE7568"/>
    <w:rsid w:val="52B0158A"/>
    <w:rsid w:val="52B63DBD"/>
    <w:rsid w:val="52B916BC"/>
    <w:rsid w:val="52BD0B55"/>
    <w:rsid w:val="52BF41DD"/>
    <w:rsid w:val="52C73AB7"/>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311BF2"/>
    <w:rsid w:val="533D4C85"/>
    <w:rsid w:val="53447CBE"/>
    <w:rsid w:val="53456AB3"/>
    <w:rsid w:val="534641E0"/>
    <w:rsid w:val="534718C6"/>
    <w:rsid w:val="53496F02"/>
    <w:rsid w:val="534B2225"/>
    <w:rsid w:val="534D106F"/>
    <w:rsid w:val="534F4759"/>
    <w:rsid w:val="535A036F"/>
    <w:rsid w:val="53624B78"/>
    <w:rsid w:val="536D1FA0"/>
    <w:rsid w:val="53772DC7"/>
    <w:rsid w:val="537920B8"/>
    <w:rsid w:val="53794812"/>
    <w:rsid w:val="537C1D1F"/>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B4F58"/>
    <w:rsid w:val="53FC6CB5"/>
    <w:rsid w:val="53FE1559"/>
    <w:rsid w:val="54022730"/>
    <w:rsid w:val="540C7023"/>
    <w:rsid w:val="541510B4"/>
    <w:rsid w:val="541511E9"/>
    <w:rsid w:val="54247E64"/>
    <w:rsid w:val="54287AC7"/>
    <w:rsid w:val="54287B8E"/>
    <w:rsid w:val="542D6B57"/>
    <w:rsid w:val="54315D9C"/>
    <w:rsid w:val="54323B0B"/>
    <w:rsid w:val="54372B10"/>
    <w:rsid w:val="54412BF0"/>
    <w:rsid w:val="54422EDA"/>
    <w:rsid w:val="544417C9"/>
    <w:rsid w:val="544B50D5"/>
    <w:rsid w:val="54514458"/>
    <w:rsid w:val="546A78D3"/>
    <w:rsid w:val="54767E31"/>
    <w:rsid w:val="54781903"/>
    <w:rsid w:val="548878FA"/>
    <w:rsid w:val="548A1E4E"/>
    <w:rsid w:val="548D289E"/>
    <w:rsid w:val="54910BA4"/>
    <w:rsid w:val="54956241"/>
    <w:rsid w:val="549A0616"/>
    <w:rsid w:val="549B20E6"/>
    <w:rsid w:val="549E3FD7"/>
    <w:rsid w:val="54A60315"/>
    <w:rsid w:val="54A7458A"/>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54F11"/>
    <w:rsid w:val="55AC56E3"/>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0D461C"/>
    <w:rsid w:val="5611799E"/>
    <w:rsid w:val="5614039E"/>
    <w:rsid w:val="56141154"/>
    <w:rsid w:val="56145E8E"/>
    <w:rsid w:val="561978EB"/>
    <w:rsid w:val="561D0938"/>
    <w:rsid w:val="56212188"/>
    <w:rsid w:val="56254844"/>
    <w:rsid w:val="562C48A4"/>
    <w:rsid w:val="562E289A"/>
    <w:rsid w:val="56324964"/>
    <w:rsid w:val="5635337A"/>
    <w:rsid w:val="563B1048"/>
    <w:rsid w:val="563C2D0A"/>
    <w:rsid w:val="563F1C04"/>
    <w:rsid w:val="5643182B"/>
    <w:rsid w:val="5646524C"/>
    <w:rsid w:val="5649734E"/>
    <w:rsid w:val="564E3688"/>
    <w:rsid w:val="56514294"/>
    <w:rsid w:val="565A5972"/>
    <w:rsid w:val="566355DD"/>
    <w:rsid w:val="56680BC9"/>
    <w:rsid w:val="566926ED"/>
    <w:rsid w:val="567043C4"/>
    <w:rsid w:val="567119B3"/>
    <w:rsid w:val="567636B0"/>
    <w:rsid w:val="567F4D05"/>
    <w:rsid w:val="568363E1"/>
    <w:rsid w:val="568F72CF"/>
    <w:rsid w:val="569725E9"/>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0E394B"/>
    <w:rsid w:val="571E3D51"/>
    <w:rsid w:val="57273EC6"/>
    <w:rsid w:val="57320543"/>
    <w:rsid w:val="57351A93"/>
    <w:rsid w:val="573D0DE5"/>
    <w:rsid w:val="574320B3"/>
    <w:rsid w:val="574940F5"/>
    <w:rsid w:val="575163DC"/>
    <w:rsid w:val="57564B03"/>
    <w:rsid w:val="57576764"/>
    <w:rsid w:val="575D1406"/>
    <w:rsid w:val="575D7DC0"/>
    <w:rsid w:val="57646E8D"/>
    <w:rsid w:val="57650A3D"/>
    <w:rsid w:val="57711DF8"/>
    <w:rsid w:val="577269D1"/>
    <w:rsid w:val="577D7C19"/>
    <w:rsid w:val="577E73CA"/>
    <w:rsid w:val="578474C5"/>
    <w:rsid w:val="578528A9"/>
    <w:rsid w:val="57883154"/>
    <w:rsid w:val="578F659F"/>
    <w:rsid w:val="57943461"/>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6316F"/>
    <w:rsid w:val="580E43B2"/>
    <w:rsid w:val="580F6AAC"/>
    <w:rsid w:val="58127039"/>
    <w:rsid w:val="581C076D"/>
    <w:rsid w:val="581D2545"/>
    <w:rsid w:val="58397B39"/>
    <w:rsid w:val="58407313"/>
    <w:rsid w:val="58463E71"/>
    <w:rsid w:val="58476216"/>
    <w:rsid w:val="584A0C32"/>
    <w:rsid w:val="585501BC"/>
    <w:rsid w:val="58577099"/>
    <w:rsid w:val="58650C5B"/>
    <w:rsid w:val="58686AE8"/>
    <w:rsid w:val="586E570C"/>
    <w:rsid w:val="587179FB"/>
    <w:rsid w:val="58744E3C"/>
    <w:rsid w:val="587527DD"/>
    <w:rsid w:val="58763C24"/>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238E"/>
    <w:rsid w:val="58CA5531"/>
    <w:rsid w:val="58CB0FB1"/>
    <w:rsid w:val="58D25899"/>
    <w:rsid w:val="58DB5028"/>
    <w:rsid w:val="58DB6A5A"/>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75B2C"/>
    <w:rsid w:val="591B200C"/>
    <w:rsid w:val="59314A2C"/>
    <w:rsid w:val="593712A6"/>
    <w:rsid w:val="59376AEA"/>
    <w:rsid w:val="59384413"/>
    <w:rsid w:val="59391116"/>
    <w:rsid w:val="59407EC1"/>
    <w:rsid w:val="59450184"/>
    <w:rsid w:val="594C4BE4"/>
    <w:rsid w:val="5950437A"/>
    <w:rsid w:val="59561BC6"/>
    <w:rsid w:val="595719C7"/>
    <w:rsid w:val="595D7276"/>
    <w:rsid w:val="59607CB3"/>
    <w:rsid w:val="59626A47"/>
    <w:rsid w:val="59643A9B"/>
    <w:rsid w:val="596919E9"/>
    <w:rsid w:val="59695EEC"/>
    <w:rsid w:val="596A6F6D"/>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749A6"/>
    <w:rsid w:val="59EE4079"/>
    <w:rsid w:val="59F04440"/>
    <w:rsid w:val="59F141F6"/>
    <w:rsid w:val="59FF3986"/>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94816"/>
    <w:rsid w:val="5A8F3D71"/>
    <w:rsid w:val="5A974094"/>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0A48"/>
    <w:rsid w:val="5AD7618C"/>
    <w:rsid w:val="5ADC54ED"/>
    <w:rsid w:val="5AE627DD"/>
    <w:rsid w:val="5AE65AC1"/>
    <w:rsid w:val="5AE72CFB"/>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931A5F"/>
    <w:rsid w:val="5B96388B"/>
    <w:rsid w:val="5B9A1729"/>
    <w:rsid w:val="5B9C7EC8"/>
    <w:rsid w:val="5B9E66F6"/>
    <w:rsid w:val="5B9F4952"/>
    <w:rsid w:val="5BA21FBD"/>
    <w:rsid w:val="5BA40851"/>
    <w:rsid w:val="5BA857C0"/>
    <w:rsid w:val="5BAF0D57"/>
    <w:rsid w:val="5BB84AB2"/>
    <w:rsid w:val="5BBC3894"/>
    <w:rsid w:val="5BBC7CD9"/>
    <w:rsid w:val="5BC02424"/>
    <w:rsid w:val="5BC207F8"/>
    <w:rsid w:val="5BC95954"/>
    <w:rsid w:val="5BD45122"/>
    <w:rsid w:val="5BD90725"/>
    <w:rsid w:val="5BDB30C2"/>
    <w:rsid w:val="5BE06C40"/>
    <w:rsid w:val="5BE4696F"/>
    <w:rsid w:val="5BE56C52"/>
    <w:rsid w:val="5BE611A7"/>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302AF"/>
    <w:rsid w:val="5C496E06"/>
    <w:rsid w:val="5C501594"/>
    <w:rsid w:val="5C530A3F"/>
    <w:rsid w:val="5C533B56"/>
    <w:rsid w:val="5C576E99"/>
    <w:rsid w:val="5C5820E1"/>
    <w:rsid w:val="5C5D3398"/>
    <w:rsid w:val="5C63455C"/>
    <w:rsid w:val="5C690B0C"/>
    <w:rsid w:val="5C7103F1"/>
    <w:rsid w:val="5C734616"/>
    <w:rsid w:val="5C7657ED"/>
    <w:rsid w:val="5C8E4D46"/>
    <w:rsid w:val="5C911EB8"/>
    <w:rsid w:val="5C9246C1"/>
    <w:rsid w:val="5C945015"/>
    <w:rsid w:val="5C985759"/>
    <w:rsid w:val="5C9C7C0A"/>
    <w:rsid w:val="5C9E0390"/>
    <w:rsid w:val="5CA15E2E"/>
    <w:rsid w:val="5CA714A7"/>
    <w:rsid w:val="5CA75558"/>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ED5FE2"/>
    <w:rsid w:val="5CF00CB6"/>
    <w:rsid w:val="5CFE554A"/>
    <w:rsid w:val="5D0D08D2"/>
    <w:rsid w:val="5D1102F0"/>
    <w:rsid w:val="5D1315D5"/>
    <w:rsid w:val="5D1A6374"/>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C6494"/>
    <w:rsid w:val="5D8F323A"/>
    <w:rsid w:val="5D9638E2"/>
    <w:rsid w:val="5D9658FD"/>
    <w:rsid w:val="5D980180"/>
    <w:rsid w:val="5DA00BBA"/>
    <w:rsid w:val="5DA13035"/>
    <w:rsid w:val="5DA264BD"/>
    <w:rsid w:val="5DA81A7E"/>
    <w:rsid w:val="5DA81B3F"/>
    <w:rsid w:val="5DB62AA6"/>
    <w:rsid w:val="5DB6541A"/>
    <w:rsid w:val="5DB76529"/>
    <w:rsid w:val="5DC0151D"/>
    <w:rsid w:val="5DC53FF5"/>
    <w:rsid w:val="5DC774B0"/>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47E46"/>
    <w:rsid w:val="5DF946B2"/>
    <w:rsid w:val="5DFA04F6"/>
    <w:rsid w:val="5E034523"/>
    <w:rsid w:val="5E090D92"/>
    <w:rsid w:val="5E0F732F"/>
    <w:rsid w:val="5E146038"/>
    <w:rsid w:val="5E2D2F8F"/>
    <w:rsid w:val="5E2E257F"/>
    <w:rsid w:val="5E30626B"/>
    <w:rsid w:val="5E3068B0"/>
    <w:rsid w:val="5E335822"/>
    <w:rsid w:val="5E407912"/>
    <w:rsid w:val="5E433AC6"/>
    <w:rsid w:val="5E490508"/>
    <w:rsid w:val="5E4B57BE"/>
    <w:rsid w:val="5E4D475B"/>
    <w:rsid w:val="5E511FF2"/>
    <w:rsid w:val="5E546B01"/>
    <w:rsid w:val="5E585064"/>
    <w:rsid w:val="5E5E337E"/>
    <w:rsid w:val="5E610076"/>
    <w:rsid w:val="5E6177B3"/>
    <w:rsid w:val="5E623C9A"/>
    <w:rsid w:val="5E6462F8"/>
    <w:rsid w:val="5E66064F"/>
    <w:rsid w:val="5E663BDB"/>
    <w:rsid w:val="5E674527"/>
    <w:rsid w:val="5E674BD8"/>
    <w:rsid w:val="5E6C2656"/>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74263"/>
    <w:rsid w:val="5F1903F3"/>
    <w:rsid w:val="5F223B4E"/>
    <w:rsid w:val="5F254AD4"/>
    <w:rsid w:val="5F2C1ADA"/>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536CD"/>
    <w:rsid w:val="5F794FC5"/>
    <w:rsid w:val="5F7C1730"/>
    <w:rsid w:val="5F7D7874"/>
    <w:rsid w:val="5F7E3C29"/>
    <w:rsid w:val="5F7F4748"/>
    <w:rsid w:val="5F872BDD"/>
    <w:rsid w:val="5F9014AE"/>
    <w:rsid w:val="5F9A3324"/>
    <w:rsid w:val="5FA2777D"/>
    <w:rsid w:val="5FA55820"/>
    <w:rsid w:val="5FA948D4"/>
    <w:rsid w:val="5FB372F0"/>
    <w:rsid w:val="5FB376AF"/>
    <w:rsid w:val="5FC017AD"/>
    <w:rsid w:val="5FC729F3"/>
    <w:rsid w:val="5FC83815"/>
    <w:rsid w:val="5FD7706A"/>
    <w:rsid w:val="5FDB4F3D"/>
    <w:rsid w:val="5FE10819"/>
    <w:rsid w:val="5FE2148F"/>
    <w:rsid w:val="5FE30BA2"/>
    <w:rsid w:val="5FE9054F"/>
    <w:rsid w:val="5FEE01B5"/>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DB43D6"/>
    <w:rsid w:val="60E12A4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52A3F"/>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5727"/>
    <w:rsid w:val="619F7ACD"/>
    <w:rsid w:val="61AA52DF"/>
    <w:rsid w:val="61B26AA0"/>
    <w:rsid w:val="61B854D2"/>
    <w:rsid w:val="61C041DC"/>
    <w:rsid w:val="61C33C28"/>
    <w:rsid w:val="61C87F95"/>
    <w:rsid w:val="61C91364"/>
    <w:rsid w:val="61CD719C"/>
    <w:rsid w:val="61D034C4"/>
    <w:rsid w:val="61D9129E"/>
    <w:rsid w:val="61E363D8"/>
    <w:rsid w:val="61E465F1"/>
    <w:rsid w:val="61ED2F89"/>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42FEE"/>
    <w:rsid w:val="62350A46"/>
    <w:rsid w:val="624128C8"/>
    <w:rsid w:val="62423062"/>
    <w:rsid w:val="62445F7C"/>
    <w:rsid w:val="624871FD"/>
    <w:rsid w:val="624B0C0E"/>
    <w:rsid w:val="624B55C6"/>
    <w:rsid w:val="62570F9F"/>
    <w:rsid w:val="6257242E"/>
    <w:rsid w:val="62580196"/>
    <w:rsid w:val="625E4138"/>
    <w:rsid w:val="6263351F"/>
    <w:rsid w:val="62660FBE"/>
    <w:rsid w:val="62671568"/>
    <w:rsid w:val="626E1485"/>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341F"/>
    <w:rsid w:val="62B86FA9"/>
    <w:rsid w:val="62BC3E88"/>
    <w:rsid w:val="62C002AA"/>
    <w:rsid w:val="62C47F9B"/>
    <w:rsid w:val="62D67E2B"/>
    <w:rsid w:val="62D901BE"/>
    <w:rsid w:val="62DF4F75"/>
    <w:rsid w:val="62E15891"/>
    <w:rsid w:val="62E76DF3"/>
    <w:rsid w:val="62EA5C2C"/>
    <w:rsid w:val="62FD04F8"/>
    <w:rsid w:val="62FD49D0"/>
    <w:rsid w:val="62FF6655"/>
    <w:rsid w:val="63074D4D"/>
    <w:rsid w:val="630C2D72"/>
    <w:rsid w:val="630E2EB5"/>
    <w:rsid w:val="63126B2F"/>
    <w:rsid w:val="63133D38"/>
    <w:rsid w:val="631779BD"/>
    <w:rsid w:val="632E498D"/>
    <w:rsid w:val="633336D4"/>
    <w:rsid w:val="63350F4B"/>
    <w:rsid w:val="63351903"/>
    <w:rsid w:val="6341499B"/>
    <w:rsid w:val="63416F64"/>
    <w:rsid w:val="634325ED"/>
    <w:rsid w:val="63443AEC"/>
    <w:rsid w:val="634802B3"/>
    <w:rsid w:val="63547A08"/>
    <w:rsid w:val="63574F6E"/>
    <w:rsid w:val="635C28DF"/>
    <w:rsid w:val="63602152"/>
    <w:rsid w:val="636075B2"/>
    <w:rsid w:val="63652712"/>
    <w:rsid w:val="636A0F15"/>
    <w:rsid w:val="637A63EB"/>
    <w:rsid w:val="6385218B"/>
    <w:rsid w:val="638541CF"/>
    <w:rsid w:val="63864A92"/>
    <w:rsid w:val="639154D4"/>
    <w:rsid w:val="639A0875"/>
    <w:rsid w:val="639B71D2"/>
    <w:rsid w:val="639E3C88"/>
    <w:rsid w:val="63A17DFD"/>
    <w:rsid w:val="63AB1FE1"/>
    <w:rsid w:val="63B01ED8"/>
    <w:rsid w:val="63B5452C"/>
    <w:rsid w:val="63B76AE2"/>
    <w:rsid w:val="63BD439C"/>
    <w:rsid w:val="63BD7C68"/>
    <w:rsid w:val="63C41DD1"/>
    <w:rsid w:val="63C501CC"/>
    <w:rsid w:val="63C72372"/>
    <w:rsid w:val="63C977A8"/>
    <w:rsid w:val="63D25757"/>
    <w:rsid w:val="63D32D5D"/>
    <w:rsid w:val="63D72CE7"/>
    <w:rsid w:val="63E03FEA"/>
    <w:rsid w:val="63E33D27"/>
    <w:rsid w:val="63E74642"/>
    <w:rsid w:val="63E96742"/>
    <w:rsid w:val="63EE5BED"/>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43327B"/>
    <w:rsid w:val="644C64F7"/>
    <w:rsid w:val="64573736"/>
    <w:rsid w:val="64595EAC"/>
    <w:rsid w:val="64646BB3"/>
    <w:rsid w:val="64655408"/>
    <w:rsid w:val="64684D4E"/>
    <w:rsid w:val="646905B9"/>
    <w:rsid w:val="646959E6"/>
    <w:rsid w:val="646A1498"/>
    <w:rsid w:val="646A4255"/>
    <w:rsid w:val="646A4D19"/>
    <w:rsid w:val="64713B8F"/>
    <w:rsid w:val="647301C9"/>
    <w:rsid w:val="64753628"/>
    <w:rsid w:val="64762A3B"/>
    <w:rsid w:val="64780C1F"/>
    <w:rsid w:val="648230FE"/>
    <w:rsid w:val="64897D48"/>
    <w:rsid w:val="648B5C8D"/>
    <w:rsid w:val="649040B2"/>
    <w:rsid w:val="64932164"/>
    <w:rsid w:val="64990A00"/>
    <w:rsid w:val="649C4ECA"/>
    <w:rsid w:val="64AB6B0F"/>
    <w:rsid w:val="64AC71C5"/>
    <w:rsid w:val="64AD64C8"/>
    <w:rsid w:val="64AE4EA4"/>
    <w:rsid w:val="64B11EFC"/>
    <w:rsid w:val="64B35DE8"/>
    <w:rsid w:val="64B7365E"/>
    <w:rsid w:val="64BF2A8C"/>
    <w:rsid w:val="64BF4F0A"/>
    <w:rsid w:val="64C32A6F"/>
    <w:rsid w:val="64C63292"/>
    <w:rsid w:val="64C70EC1"/>
    <w:rsid w:val="64C91401"/>
    <w:rsid w:val="64CD2D4A"/>
    <w:rsid w:val="64D71BA6"/>
    <w:rsid w:val="64DB76BD"/>
    <w:rsid w:val="64EC5E46"/>
    <w:rsid w:val="64F05517"/>
    <w:rsid w:val="64F34891"/>
    <w:rsid w:val="64F45D47"/>
    <w:rsid w:val="64F46B8A"/>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C3AFB"/>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2DD3"/>
    <w:rsid w:val="66164AC3"/>
    <w:rsid w:val="661B36E7"/>
    <w:rsid w:val="661E0924"/>
    <w:rsid w:val="662244D2"/>
    <w:rsid w:val="66230966"/>
    <w:rsid w:val="66240622"/>
    <w:rsid w:val="662411BF"/>
    <w:rsid w:val="662511C9"/>
    <w:rsid w:val="66274D79"/>
    <w:rsid w:val="662B361D"/>
    <w:rsid w:val="66315775"/>
    <w:rsid w:val="66353032"/>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A5154"/>
    <w:rsid w:val="668B6CD0"/>
    <w:rsid w:val="669A357F"/>
    <w:rsid w:val="66A31556"/>
    <w:rsid w:val="66AB4650"/>
    <w:rsid w:val="66AF5BE1"/>
    <w:rsid w:val="66B37F84"/>
    <w:rsid w:val="66B40759"/>
    <w:rsid w:val="66BE2FA5"/>
    <w:rsid w:val="66C16711"/>
    <w:rsid w:val="66C9321B"/>
    <w:rsid w:val="66CC4487"/>
    <w:rsid w:val="66CF0500"/>
    <w:rsid w:val="66D23D78"/>
    <w:rsid w:val="66D61628"/>
    <w:rsid w:val="66D6775C"/>
    <w:rsid w:val="66D76593"/>
    <w:rsid w:val="66D83405"/>
    <w:rsid w:val="66DC7B4A"/>
    <w:rsid w:val="66DF46C2"/>
    <w:rsid w:val="66E40E13"/>
    <w:rsid w:val="66E85249"/>
    <w:rsid w:val="66EB12C4"/>
    <w:rsid w:val="66F05D75"/>
    <w:rsid w:val="66F14286"/>
    <w:rsid w:val="66F43AE9"/>
    <w:rsid w:val="66FB72CF"/>
    <w:rsid w:val="66FE667B"/>
    <w:rsid w:val="66FF75FB"/>
    <w:rsid w:val="670150D7"/>
    <w:rsid w:val="67097AAA"/>
    <w:rsid w:val="670A543B"/>
    <w:rsid w:val="670D1B71"/>
    <w:rsid w:val="67141282"/>
    <w:rsid w:val="671B5176"/>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A4E20"/>
    <w:rsid w:val="67C00B00"/>
    <w:rsid w:val="67C55133"/>
    <w:rsid w:val="67C80310"/>
    <w:rsid w:val="67CF419D"/>
    <w:rsid w:val="67D51ED2"/>
    <w:rsid w:val="67D9767C"/>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66DDB"/>
    <w:rsid w:val="684D72F1"/>
    <w:rsid w:val="68596E7A"/>
    <w:rsid w:val="685C30B4"/>
    <w:rsid w:val="685E0BD6"/>
    <w:rsid w:val="68616BDF"/>
    <w:rsid w:val="68627BE9"/>
    <w:rsid w:val="686B0397"/>
    <w:rsid w:val="686C5C45"/>
    <w:rsid w:val="687F5E75"/>
    <w:rsid w:val="6882283D"/>
    <w:rsid w:val="68851CBF"/>
    <w:rsid w:val="68864BA5"/>
    <w:rsid w:val="688709AF"/>
    <w:rsid w:val="688D03F7"/>
    <w:rsid w:val="689434DA"/>
    <w:rsid w:val="68956C27"/>
    <w:rsid w:val="68983320"/>
    <w:rsid w:val="689A0693"/>
    <w:rsid w:val="689B6CBC"/>
    <w:rsid w:val="689E1B95"/>
    <w:rsid w:val="689F4CC7"/>
    <w:rsid w:val="68A01296"/>
    <w:rsid w:val="68A41E22"/>
    <w:rsid w:val="68A60186"/>
    <w:rsid w:val="68A77B97"/>
    <w:rsid w:val="68A97007"/>
    <w:rsid w:val="68B478A9"/>
    <w:rsid w:val="68BC201A"/>
    <w:rsid w:val="68C6004A"/>
    <w:rsid w:val="68D12468"/>
    <w:rsid w:val="68D542A9"/>
    <w:rsid w:val="68DC15E5"/>
    <w:rsid w:val="68E1040E"/>
    <w:rsid w:val="68E21FF5"/>
    <w:rsid w:val="68E269FC"/>
    <w:rsid w:val="68E43CE8"/>
    <w:rsid w:val="68F3092C"/>
    <w:rsid w:val="690071B5"/>
    <w:rsid w:val="69007486"/>
    <w:rsid w:val="690120D7"/>
    <w:rsid w:val="69072F35"/>
    <w:rsid w:val="690916D6"/>
    <w:rsid w:val="69092A95"/>
    <w:rsid w:val="690952C8"/>
    <w:rsid w:val="69153A94"/>
    <w:rsid w:val="691A6F97"/>
    <w:rsid w:val="69315234"/>
    <w:rsid w:val="69385B42"/>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129B0"/>
    <w:rsid w:val="699D0C87"/>
    <w:rsid w:val="69A14334"/>
    <w:rsid w:val="69A15775"/>
    <w:rsid w:val="69A94A41"/>
    <w:rsid w:val="69B33A08"/>
    <w:rsid w:val="69B649A4"/>
    <w:rsid w:val="69C026AD"/>
    <w:rsid w:val="69C40C44"/>
    <w:rsid w:val="69C4366B"/>
    <w:rsid w:val="69C658E4"/>
    <w:rsid w:val="69D5474D"/>
    <w:rsid w:val="69D87485"/>
    <w:rsid w:val="69DB51C3"/>
    <w:rsid w:val="69F2148A"/>
    <w:rsid w:val="69F55D01"/>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4B186F"/>
    <w:rsid w:val="6A605140"/>
    <w:rsid w:val="6A657204"/>
    <w:rsid w:val="6A6A2302"/>
    <w:rsid w:val="6A6B49F4"/>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B2C7C"/>
    <w:rsid w:val="6AAD12D9"/>
    <w:rsid w:val="6AB602C2"/>
    <w:rsid w:val="6AB63510"/>
    <w:rsid w:val="6AB943EE"/>
    <w:rsid w:val="6AC032BC"/>
    <w:rsid w:val="6AC8092A"/>
    <w:rsid w:val="6AD06A6E"/>
    <w:rsid w:val="6AD8058D"/>
    <w:rsid w:val="6AE0794B"/>
    <w:rsid w:val="6AE1028F"/>
    <w:rsid w:val="6AE64F06"/>
    <w:rsid w:val="6AE76A8A"/>
    <w:rsid w:val="6AF84026"/>
    <w:rsid w:val="6AFC0DCF"/>
    <w:rsid w:val="6B045851"/>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93C44"/>
    <w:rsid w:val="6B5C47D5"/>
    <w:rsid w:val="6B6951C4"/>
    <w:rsid w:val="6B6B795B"/>
    <w:rsid w:val="6B6C155B"/>
    <w:rsid w:val="6B6D17D9"/>
    <w:rsid w:val="6B7553AF"/>
    <w:rsid w:val="6B777900"/>
    <w:rsid w:val="6B7A615E"/>
    <w:rsid w:val="6B7E0908"/>
    <w:rsid w:val="6B842643"/>
    <w:rsid w:val="6B8E6F7C"/>
    <w:rsid w:val="6B8E767A"/>
    <w:rsid w:val="6B923B2B"/>
    <w:rsid w:val="6B9429D1"/>
    <w:rsid w:val="6B98025A"/>
    <w:rsid w:val="6B9B2216"/>
    <w:rsid w:val="6B9C3C63"/>
    <w:rsid w:val="6BA31A09"/>
    <w:rsid w:val="6BA75497"/>
    <w:rsid w:val="6BA9582F"/>
    <w:rsid w:val="6BAD2F74"/>
    <w:rsid w:val="6BB176F7"/>
    <w:rsid w:val="6BB17E5A"/>
    <w:rsid w:val="6BB35690"/>
    <w:rsid w:val="6BB455C1"/>
    <w:rsid w:val="6BB74227"/>
    <w:rsid w:val="6BBA66B5"/>
    <w:rsid w:val="6BBA68E4"/>
    <w:rsid w:val="6BBB4885"/>
    <w:rsid w:val="6BBE76E4"/>
    <w:rsid w:val="6BC9376F"/>
    <w:rsid w:val="6BD1009A"/>
    <w:rsid w:val="6BE0583E"/>
    <w:rsid w:val="6BE0639E"/>
    <w:rsid w:val="6BE444FA"/>
    <w:rsid w:val="6BE47E21"/>
    <w:rsid w:val="6BEB6FBB"/>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9612D"/>
    <w:rsid w:val="6CD9239F"/>
    <w:rsid w:val="6CDB1F23"/>
    <w:rsid w:val="6CE33F52"/>
    <w:rsid w:val="6CE3651E"/>
    <w:rsid w:val="6CE425FD"/>
    <w:rsid w:val="6CEC0B1B"/>
    <w:rsid w:val="6CEC3EFD"/>
    <w:rsid w:val="6CED120B"/>
    <w:rsid w:val="6CEE7B17"/>
    <w:rsid w:val="6CF36C4F"/>
    <w:rsid w:val="6CF543B5"/>
    <w:rsid w:val="6CF70AA0"/>
    <w:rsid w:val="6CFD69B7"/>
    <w:rsid w:val="6D071C15"/>
    <w:rsid w:val="6D0774BF"/>
    <w:rsid w:val="6D0D6024"/>
    <w:rsid w:val="6D0F2B02"/>
    <w:rsid w:val="6D100C3D"/>
    <w:rsid w:val="6D140100"/>
    <w:rsid w:val="6D17790B"/>
    <w:rsid w:val="6D1A1781"/>
    <w:rsid w:val="6D1D04BB"/>
    <w:rsid w:val="6D1F26CE"/>
    <w:rsid w:val="6D2001F2"/>
    <w:rsid w:val="6D234A39"/>
    <w:rsid w:val="6D262378"/>
    <w:rsid w:val="6D276729"/>
    <w:rsid w:val="6D2D1778"/>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27D4F"/>
    <w:rsid w:val="6D943E51"/>
    <w:rsid w:val="6D9A7415"/>
    <w:rsid w:val="6D9C4BDA"/>
    <w:rsid w:val="6D9F77B2"/>
    <w:rsid w:val="6DA22A3B"/>
    <w:rsid w:val="6DA71CDB"/>
    <w:rsid w:val="6DA77659"/>
    <w:rsid w:val="6DAD7B23"/>
    <w:rsid w:val="6DB43CBF"/>
    <w:rsid w:val="6DB65267"/>
    <w:rsid w:val="6DBE7C28"/>
    <w:rsid w:val="6DC32A73"/>
    <w:rsid w:val="6DC616C6"/>
    <w:rsid w:val="6DC869CE"/>
    <w:rsid w:val="6DC95CAA"/>
    <w:rsid w:val="6DCA662C"/>
    <w:rsid w:val="6DCE70D9"/>
    <w:rsid w:val="6DD54A74"/>
    <w:rsid w:val="6DE512BE"/>
    <w:rsid w:val="6DEA6AB1"/>
    <w:rsid w:val="6DEC6482"/>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1768B"/>
    <w:rsid w:val="6E56438B"/>
    <w:rsid w:val="6E566306"/>
    <w:rsid w:val="6E5F53C9"/>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D58BA"/>
    <w:rsid w:val="6EBE3054"/>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02DF2"/>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763AC"/>
    <w:rsid w:val="6FBA7AB0"/>
    <w:rsid w:val="6FBC4B72"/>
    <w:rsid w:val="6FC43F90"/>
    <w:rsid w:val="6FC5311F"/>
    <w:rsid w:val="6FC93ABB"/>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223E4"/>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FE"/>
    <w:rsid w:val="71060102"/>
    <w:rsid w:val="71067CCF"/>
    <w:rsid w:val="710B4A26"/>
    <w:rsid w:val="71101A19"/>
    <w:rsid w:val="711103AE"/>
    <w:rsid w:val="711528A0"/>
    <w:rsid w:val="71162D5A"/>
    <w:rsid w:val="711A1C3B"/>
    <w:rsid w:val="711E3A15"/>
    <w:rsid w:val="712C473E"/>
    <w:rsid w:val="7132011D"/>
    <w:rsid w:val="71326B1E"/>
    <w:rsid w:val="713A0B5B"/>
    <w:rsid w:val="71430411"/>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A5507"/>
    <w:rsid w:val="71FC609A"/>
    <w:rsid w:val="71FD1D34"/>
    <w:rsid w:val="71FE2ACC"/>
    <w:rsid w:val="72015588"/>
    <w:rsid w:val="72087B85"/>
    <w:rsid w:val="720F3321"/>
    <w:rsid w:val="72116C3F"/>
    <w:rsid w:val="721360B9"/>
    <w:rsid w:val="72191DE7"/>
    <w:rsid w:val="721B79CD"/>
    <w:rsid w:val="721F2961"/>
    <w:rsid w:val="72212169"/>
    <w:rsid w:val="7226099D"/>
    <w:rsid w:val="722B6D3C"/>
    <w:rsid w:val="72314763"/>
    <w:rsid w:val="723A16A4"/>
    <w:rsid w:val="723B0B95"/>
    <w:rsid w:val="723B52B8"/>
    <w:rsid w:val="724A4324"/>
    <w:rsid w:val="724D6F66"/>
    <w:rsid w:val="72522723"/>
    <w:rsid w:val="72526D2A"/>
    <w:rsid w:val="725340BD"/>
    <w:rsid w:val="72542A36"/>
    <w:rsid w:val="72555383"/>
    <w:rsid w:val="725B002B"/>
    <w:rsid w:val="726373ED"/>
    <w:rsid w:val="726843AE"/>
    <w:rsid w:val="72751836"/>
    <w:rsid w:val="728321D7"/>
    <w:rsid w:val="728A080E"/>
    <w:rsid w:val="728A60B0"/>
    <w:rsid w:val="728B69E4"/>
    <w:rsid w:val="72930D42"/>
    <w:rsid w:val="72956586"/>
    <w:rsid w:val="729F0E66"/>
    <w:rsid w:val="72A31793"/>
    <w:rsid w:val="72A362B4"/>
    <w:rsid w:val="72A74552"/>
    <w:rsid w:val="72A83E80"/>
    <w:rsid w:val="72A86C15"/>
    <w:rsid w:val="72AF0B61"/>
    <w:rsid w:val="72B50852"/>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779D1"/>
    <w:rsid w:val="72EA3A09"/>
    <w:rsid w:val="7301303C"/>
    <w:rsid w:val="73024E04"/>
    <w:rsid w:val="730B0185"/>
    <w:rsid w:val="730B2912"/>
    <w:rsid w:val="73117F42"/>
    <w:rsid w:val="73130C07"/>
    <w:rsid w:val="731829E1"/>
    <w:rsid w:val="73266F63"/>
    <w:rsid w:val="732A69D2"/>
    <w:rsid w:val="732E73B4"/>
    <w:rsid w:val="732F0552"/>
    <w:rsid w:val="73353A9D"/>
    <w:rsid w:val="733574BF"/>
    <w:rsid w:val="733A4AF0"/>
    <w:rsid w:val="733B519B"/>
    <w:rsid w:val="733E5133"/>
    <w:rsid w:val="73470963"/>
    <w:rsid w:val="734B783B"/>
    <w:rsid w:val="73606A76"/>
    <w:rsid w:val="73640D2D"/>
    <w:rsid w:val="73664C31"/>
    <w:rsid w:val="736F39A6"/>
    <w:rsid w:val="737773BC"/>
    <w:rsid w:val="73803D51"/>
    <w:rsid w:val="73825C14"/>
    <w:rsid w:val="738264F3"/>
    <w:rsid w:val="73833688"/>
    <w:rsid w:val="73847541"/>
    <w:rsid w:val="738B78DE"/>
    <w:rsid w:val="738C0199"/>
    <w:rsid w:val="738C333B"/>
    <w:rsid w:val="738E0824"/>
    <w:rsid w:val="738F3A55"/>
    <w:rsid w:val="739942FF"/>
    <w:rsid w:val="73A760F2"/>
    <w:rsid w:val="73B00CC3"/>
    <w:rsid w:val="73B06C67"/>
    <w:rsid w:val="73BD2509"/>
    <w:rsid w:val="73C55A94"/>
    <w:rsid w:val="73D63DCA"/>
    <w:rsid w:val="73DB761B"/>
    <w:rsid w:val="73DC5FD2"/>
    <w:rsid w:val="73DD45E1"/>
    <w:rsid w:val="73E1113D"/>
    <w:rsid w:val="73F84F1C"/>
    <w:rsid w:val="73FA0DAA"/>
    <w:rsid w:val="73FF104A"/>
    <w:rsid w:val="740A122A"/>
    <w:rsid w:val="740A13D9"/>
    <w:rsid w:val="740D2E53"/>
    <w:rsid w:val="74166CA8"/>
    <w:rsid w:val="74187EEC"/>
    <w:rsid w:val="741964A4"/>
    <w:rsid w:val="741C4A57"/>
    <w:rsid w:val="741E636C"/>
    <w:rsid w:val="741F4C05"/>
    <w:rsid w:val="742671F5"/>
    <w:rsid w:val="74272D85"/>
    <w:rsid w:val="74273B4A"/>
    <w:rsid w:val="742A50E0"/>
    <w:rsid w:val="743E46CE"/>
    <w:rsid w:val="74414A8B"/>
    <w:rsid w:val="74434686"/>
    <w:rsid w:val="74475FDB"/>
    <w:rsid w:val="744C7B5C"/>
    <w:rsid w:val="74502B4C"/>
    <w:rsid w:val="745211DA"/>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E2C50"/>
    <w:rsid w:val="74AE30E3"/>
    <w:rsid w:val="74AF19B2"/>
    <w:rsid w:val="74B33364"/>
    <w:rsid w:val="74B4717D"/>
    <w:rsid w:val="74B83167"/>
    <w:rsid w:val="74B91285"/>
    <w:rsid w:val="74BC376B"/>
    <w:rsid w:val="74BD3271"/>
    <w:rsid w:val="74BD448C"/>
    <w:rsid w:val="74C35A03"/>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64972"/>
    <w:rsid w:val="74F95012"/>
    <w:rsid w:val="7502115E"/>
    <w:rsid w:val="75054738"/>
    <w:rsid w:val="750842CC"/>
    <w:rsid w:val="75091147"/>
    <w:rsid w:val="750F4E7A"/>
    <w:rsid w:val="75181445"/>
    <w:rsid w:val="751A36F4"/>
    <w:rsid w:val="751D2CC0"/>
    <w:rsid w:val="7526226A"/>
    <w:rsid w:val="752F371C"/>
    <w:rsid w:val="752F5DE3"/>
    <w:rsid w:val="75345F3F"/>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505F8"/>
    <w:rsid w:val="758641B8"/>
    <w:rsid w:val="75A11C80"/>
    <w:rsid w:val="75A70CB8"/>
    <w:rsid w:val="75AB5256"/>
    <w:rsid w:val="75B05DB1"/>
    <w:rsid w:val="75B43531"/>
    <w:rsid w:val="75B54E5D"/>
    <w:rsid w:val="75B921DA"/>
    <w:rsid w:val="75B96690"/>
    <w:rsid w:val="75C00ADE"/>
    <w:rsid w:val="75CA76E4"/>
    <w:rsid w:val="75D0763F"/>
    <w:rsid w:val="75DB1506"/>
    <w:rsid w:val="75DB5530"/>
    <w:rsid w:val="75E235E5"/>
    <w:rsid w:val="75E376A3"/>
    <w:rsid w:val="75E82B30"/>
    <w:rsid w:val="75ED1BDF"/>
    <w:rsid w:val="75ED5A36"/>
    <w:rsid w:val="75FB7495"/>
    <w:rsid w:val="75FC7D3B"/>
    <w:rsid w:val="75FE31D9"/>
    <w:rsid w:val="75FF0133"/>
    <w:rsid w:val="75FF226B"/>
    <w:rsid w:val="76003A09"/>
    <w:rsid w:val="760231B5"/>
    <w:rsid w:val="76036560"/>
    <w:rsid w:val="76082FFA"/>
    <w:rsid w:val="760A687D"/>
    <w:rsid w:val="760E0D7A"/>
    <w:rsid w:val="761025FD"/>
    <w:rsid w:val="76117E3A"/>
    <w:rsid w:val="76130B75"/>
    <w:rsid w:val="76192FD7"/>
    <w:rsid w:val="7619484E"/>
    <w:rsid w:val="761B102B"/>
    <w:rsid w:val="762012F3"/>
    <w:rsid w:val="762D216C"/>
    <w:rsid w:val="762F067E"/>
    <w:rsid w:val="76322CE8"/>
    <w:rsid w:val="76390A1A"/>
    <w:rsid w:val="763B0284"/>
    <w:rsid w:val="763E0B26"/>
    <w:rsid w:val="764833C3"/>
    <w:rsid w:val="764B7C87"/>
    <w:rsid w:val="764E6C91"/>
    <w:rsid w:val="765233FB"/>
    <w:rsid w:val="7659095E"/>
    <w:rsid w:val="765A2E54"/>
    <w:rsid w:val="765C20F6"/>
    <w:rsid w:val="765F3B6B"/>
    <w:rsid w:val="7669425E"/>
    <w:rsid w:val="766B3DFC"/>
    <w:rsid w:val="76710E80"/>
    <w:rsid w:val="767E302B"/>
    <w:rsid w:val="76823B6E"/>
    <w:rsid w:val="768542F9"/>
    <w:rsid w:val="769016B8"/>
    <w:rsid w:val="76932345"/>
    <w:rsid w:val="769F0579"/>
    <w:rsid w:val="76A35D52"/>
    <w:rsid w:val="76A5622D"/>
    <w:rsid w:val="76A633ED"/>
    <w:rsid w:val="76AB5F51"/>
    <w:rsid w:val="76B02504"/>
    <w:rsid w:val="76B576A3"/>
    <w:rsid w:val="76BF45A0"/>
    <w:rsid w:val="76C26EAA"/>
    <w:rsid w:val="76C428B5"/>
    <w:rsid w:val="76C50EFA"/>
    <w:rsid w:val="76C87FBA"/>
    <w:rsid w:val="76D03D47"/>
    <w:rsid w:val="76D16B19"/>
    <w:rsid w:val="76D723E3"/>
    <w:rsid w:val="76DB3BA3"/>
    <w:rsid w:val="76E02C24"/>
    <w:rsid w:val="76E2168B"/>
    <w:rsid w:val="76E34A56"/>
    <w:rsid w:val="76E56D71"/>
    <w:rsid w:val="76E6140A"/>
    <w:rsid w:val="76ED1B73"/>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75639"/>
    <w:rsid w:val="77187B86"/>
    <w:rsid w:val="772C5306"/>
    <w:rsid w:val="772D352E"/>
    <w:rsid w:val="7733773C"/>
    <w:rsid w:val="7734057D"/>
    <w:rsid w:val="77343121"/>
    <w:rsid w:val="77355E6E"/>
    <w:rsid w:val="77382BBE"/>
    <w:rsid w:val="77383244"/>
    <w:rsid w:val="773B28CF"/>
    <w:rsid w:val="773F7236"/>
    <w:rsid w:val="7743602C"/>
    <w:rsid w:val="77443794"/>
    <w:rsid w:val="77452A9A"/>
    <w:rsid w:val="77453002"/>
    <w:rsid w:val="77492C03"/>
    <w:rsid w:val="774F423A"/>
    <w:rsid w:val="774F7910"/>
    <w:rsid w:val="7756714D"/>
    <w:rsid w:val="77597E3E"/>
    <w:rsid w:val="77625740"/>
    <w:rsid w:val="77663281"/>
    <w:rsid w:val="7769549F"/>
    <w:rsid w:val="776C70D2"/>
    <w:rsid w:val="7770508C"/>
    <w:rsid w:val="77711C62"/>
    <w:rsid w:val="777224B9"/>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D7A01"/>
    <w:rsid w:val="77E85637"/>
    <w:rsid w:val="77EE30D2"/>
    <w:rsid w:val="77F630A0"/>
    <w:rsid w:val="77FD0AC4"/>
    <w:rsid w:val="78005696"/>
    <w:rsid w:val="78005B7D"/>
    <w:rsid w:val="780A565F"/>
    <w:rsid w:val="780B2FEF"/>
    <w:rsid w:val="780C15F4"/>
    <w:rsid w:val="780F0AC0"/>
    <w:rsid w:val="7810621D"/>
    <w:rsid w:val="78107099"/>
    <w:rsid w:val="78114B77"/>
    <w:rsid w:val="781C62B7"/>
    <w:rsid w:val="781D006F"/>
    <w:rsid w:val="781F2405"/>
    <w:rsid w:val="78213084"/>
    <w:rsid w:val="78213648"/>
    <w:rsid w:val="782424D5"/>
    <w:rsid w:val="78287DBF"/>
    <w:rsid w:val="782F5A83"/>
    <w:rsid w:val="78305E38"/>
    <w:rsid w:val="783328A6"/>
    <w:rsid w:val="78367F27"/>
    <w:rsid w:val="783A64F7"/>
    <w:rsid w:val="783C4C63"/>
    <w:rsid w:val="783F1D19"/>
    <w:rsid w:val="78475B1A"/>
    <w:rsid w:val="784B2E74"/>
    <w:rsid w:val="784B346B"/>
    <w:rsid w:val="78504A7B"/>
    <w:rsid w:val="78520561"/>
    <w:rsid w:val="78531BDB"/>
    <w:rsid w:val="785364C5"/>
    <w:rsid w:val="78556E52"/>
    <w:rsid w:val="785E2773"/>
    <w:rsid w:val="785F6878"/>
    <w:rsid w:val="78631B96"/>
    <w:rsid w:val="78682E27"/>
    <w:rsid w:val="786B2A6C"/>
    <w:rsid w:val="786C5E43"/>
    <w:rsid w:val="786E7579"/>
    <w:rsid w:val="786F0A8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1185F"/>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51F4D"/>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B7A1A"/>
    <w:rsid w:val="79DF3AB5"/>
    <w:rsid w:val="79F000FA"/>
    <w:rsid w:val="79F778C7"/>
    <w:rsid w:val="79FD0561"/>
    <w:rsid w:val="79FE51D4"/>
    <w:rsid w:val="79FF5C22"/>
    <w:rsid w:val="7A0122FF"/>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96EE2"/>
    <w:rsid w:val="7B9A7554"/>
    <w:rsid w:val="7B9E2E81"/>
    <w:rsid w:val="7BA051CC"/>
    <w:rsid w:val="7BAB3008"/>
    <w:rsid w:val="7BAB4D2A"/>
    <w:rsid w:val="7BB55C27"/>
    <w:rsid w:val="7BBA1EAE"/>
    <w:rsid w:val="7BC43B6B"/>
    <w:rsid w:val="7BC85C15"/>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B4BD5"/>
    <w:rsid w:val="7C90608C"/>
    <w:rsid w:val="7C997B87"/>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330E2"/>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18CF"/>
    <w:rsid w:val="7D436EF5"/>
    <w:rsid w:val="7D4C7CE9"/>
    <w:rsid w:val="7D512D55"/>
    <w:rsid w:val="7D5709AE"/>
    <w:rsid w:val="7D5E2E71"/>
    <w:rsid w:val="7D6940E5"/>
    <w:rsid w:val="7D6F5BF1"/>
    <w:rsid w:val="7D785216"/>
    <w:rsid w:val="7D7D670C"/>
    <w:rsid w:val="7D853EBF"/>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4550C"/>
    <w:rsid w:val="7DD85DBE"/>
    <w:rsid w:val="7DDA4118"/>
    <w:rsid w:val="7DDB237C"/>
    <w:rsid w:val="7DE750D0"/>
    <w:rsid w:val="7DE8415F"/>
    <w:rsid w:val="7DEB13EA"/>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3896"/>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96858"/>
    <w:rsid w:val="7EFD09E8"/>
    <w:rsid w:val="7EFE452B"/>
    <w:rsid w:val="7F007AB1"/>
    <w:rsid w:val="7F016D3A"/>
    <w:rsid w:val="7F032E41"/>
    <w:rsid w:val="7F042CED"/>
    <w:rsid w:val="7F054619"/>
    <w:rsid w:val="7F0B3EAA"/>
    <w:rsid w:val="7F1026DA"/>
    <w:rsid w:val="7F145629"/>
    <w:rsid w:val="7F1634AE"/>
    <w:rsid w:val="7F1A0430"/>
    <w:rsid w:val="7F2371D0"/>
    <w:rsid w:val="7F25457C"/>
    <w:rsid w:val="7F3C2189"/>
    <w:rsid w:val="7F3C3603"/>
    <w:rsid w:val="7F3C394C"/>
    <w:rsid w:val="7F563140"/>
    <w:rsid w:val="7F5A4239"/>
    <w:rsid w:val="7F614A34"/>
    <w:rsid w:val="7F614D28"/>
    <w:rsid w:val="7F6179F3"/>
    <w:rsid w:val="7F63372A"/>
    <w:rsid w:val="7F642634"/>
    <w:rsid w:val="7F6812CE"/>
    <w:rsid w:val="7F6E5620"/>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37A5B"/>
    <w:rsid w:val="7FC46393"/>
    <w:rsid w:val="7FC478B7"/>
    <w:rsid w:val="7FC622EC"/>
    <w:rsid w:val="7FC83CB0"/>
    <w:rsid w:val="7FCE31F6"/>
    <w:rsid w:val="7FDC2BA3"/>
    <w:rsid w:val="7FDD1879"/>
    <w:rsid w:val="7FE64B17"/>
    <w:rsid w:val="7FEA56BA"/>
    <w:rsid w:val="7FF929E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5"/>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1"/>
    <w:next w:val="1"/>
    <w:link w:val="46"/>
    <w:unhideWhenUsed/>
    <w:qFormat/>
    <w:uiPriority w:val="9"/>
    <w:pPr>
      <w:snapToGrid w:val="0"/>
      <w:spacing w:line="240" w:lineRule="auto"/>
      <w:ind w:firstLine="221" w:firstLineChars="100"/>
      <w:jc w:val="both"/>
      <w:outlineLvl w:val="2"/>
    </w:pPr>
    <w:rPr>
      <w:sz w:val="24"/>
    </w:rPr>
  </w:style>
  <w:style w:type="paragraph" w:styleId="5">
    <w:name w:val="heading 4"/>
    <w:basedOn w:val="4"/>
    <w:next w:val="1"/>
    <w:link w:val="65"/>
    <w:qFormat/>
    <w:uiPriority w:val="0"/>
    <w:pPr>
      <w:overflowPunct w:val="0"/>
      <w:spacing w:after="0"/>
      <w:textAlignment w:val="baseline"/>
      <w:outlineLvl w:val="3"/>
    </w:pPr>
    <w:rPr>
      <w:sz w:val="28"/>
      <w:szCs w:val="28"/>
      <w:lang w:val="en-GB"/>
    </w:rPr>
  </w:style>
  <w:style w:type="paragraph" w:styleId="6">
    <w:name w:val="heading 5"/>
    <w:basedOn w:val="5"/>
    <w:next w:val="1"/>
    <w:link w:val="66"/>
    <w:qFormat/>
    <w:uiPriority w:val="0"/>
    <w:p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0"/>
    <w:unhideWhenUsed/>
    <w:qFormat/>
    <w:uiPriority w:val="99"/>
    <w:rPr>
      <w:rFonts w:ascii="宋体"/>
      <w:sz w:val="18"/>
      <w:szCs w:val="18"/>
    </w:rPr>
  </w:style>
  <w:style w:type="paragraph" w:styleId="17">
    <w:name w:val="annotation text"/>
    <w:basedOn w:val="1"/>
    <w:link w:val="38"/>
    <w:unhideWhenUsed/>
    <w:qFormat/>
    <w:uiPriority w:val="99"/>
    <w:rPr>
      <w:sz w:val="20"/>
      <w:szCs w:val="20"/>
    </w:rPr>
  </w:style>
  <w:style w:type="paragraph" w:styleId="18">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9">
    <w:name w:val="Body Text Indent"/>
    <w:basedOn w:val="1"/>
    <w:link w:val="73"/>
    <w:unhideWhenUsed/>
    <w:qFormat/>
    <w:uiPriority w:val="99"/>
    <w:pPr>
      <w:spacing w:after="120"/>
      <w:ind w:left="360"/>
    </w:pPr>
  </w:style>
  <w:style w:type="paragraph" w:styleId="20">
    <w:name w:val="Plain Text"/>
    <w:basedOn w:val="1"/>
    <w:link w:val="59"/>
    <w:unhideWhenUsed/>
    <w:qFormat/>
    <w:uiPriority w:val="99"/>
    <w:pPr>
      <w:spacing w:after="0" w:line="240" w:lineRule="auto"/>
    </w:pPr>
    <w:rPr>
      <w:rFonts w:eastAsia="Calibri"/>
      <w:szCs w:val="21"/>
      <w:lang w:val="en-GB" w:eastAsia="en-US"/>
    </w:rPr>
  </w:style>
  <w:style w:type="paragraph" w:styleId="21">
    <w:name w:val="Date"/>
    <w:basedOn w:val="1"/>
    <w:next w:val="1"/>
    <w:link w:val="53"/>
    <w:unhideWhenUsed/>
    <w:qFormat/>
    <w:uiPriority w:val="99"/>
    <w:pPr>
      <w:ind w:left="100" w:leftChars="2500"/>
    </w:pPr>
  </w:style>
  <w:style w:type="paragraph" w:styleId="22">
    <w:name w:val="Balloon Text"/>
    <w:basedOn w:val="1"/>
    <w:link w:val="34"/>
    <w:unhideWhenUsed/>
    <w:qFormat/>
    <w:uiPriority w:val="99"/>
    <w:pPr>
      <w:spacing w:after="0" w:line="240" w:lineRule="auto"/>
    </w:pPr>
    <w:rPr>
      <w:rFonts w:ascii="Tahoma" w:hAnsi="Tahoma"/>
      <w:sz w:val="16"/>
      <w:szCs w:val="16"/>
    </w:rPr>
  </w:style>
  <w:style w:type="paragraph" w:styleId="23">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7"/>
    <w:next w:val="17"/>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basedOn w:val="29"/>
    <w:unhideWhenUsed/>
    <w:qFormat/>
    <w:uiPriority w:val="99"/>
    <w:rPr>
      <w:sz w:val="16"/>
      <w:szCs w:val="16"/>
    </w:rPr>
  </w:style>
  <w:style w:type="character" w:customStyle="1" w:styleId="34">
    <w:name w:val="批注框文本 字符"/>
    <w:link w:val="22"/>
    <w:semiHidden/>
    <w:qFormat/>
    <w:uiPriority w:val="99"/>
    <w:rPr>
      <w:rFonts w:ascii="Tahoma" w:hAnsi="Tahoma" w:cs="Tahoma"/>
      <w:sz w:val="16"/>
      <w:szCs w:val="16"/>
    </w:rPr>
  </w:style>
  <w:style w:type="character" w:customStyle="1" w:styleId="35">
    <w:name w:val="标题 1 字符"/>
    <w:link w:val="2"/>
    <w:qFormat/>
    <w:uiPriority w:val="0"/>
    <w:rPr>
      <w:rFonts w:ascii="Arial" w:hAnsi="Arial" w:eastAsia="黑体"/>
      <w:b/>
      <w:bCs/>
      <w:sz w:val="30"/>
      <w:szCs w:val="30"/>
      <w:lang w:val="zh-CN"/>
    </w:rPr>
  </w:style>
  <w:style w:type="character" w:customStyle="1" w:styleId="36">
    <w:name w:val="页眉 字符"/>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字符"/>
    <w:basedOn w:val="29"/>
    <w:link w:val="17"/>
    <w:qFormat/>
    <w:uiPriority w:val="99"/>
  </w:style>
  <w:style w:type="character" w:customStyle="1" w:styleId="39">
    <w:name w:val="批注主题 字符"/>
    <w:link w:val="26"/>
    <w:semiHidden/>
    <w:qFormat/>
    <w:uiPriority w:val="99"/>
    <w:rPr>
      <w:b/>
      <w:bCs/>
    </w:rPr>
  </w:style>
  <w:style w:type="character" w:customStyle="1" w:styleId="40">
    <w:name w:val="文档结构图 字符"/>
    <w:link w:val="16"/>
    <w:semiHidden/>
    <w:qFormat/>
    <w:uiPriority w:val="99"/>
    <w:rPr>
      <w:rFonts w:ascii="宋体"/>
      <w:sz w:val="18"/>
      <w:szCs w:val="18"/>
    </w:rPr>
  </w:style>
  <w:style w:type="character" w:customStyle="1" w:styleId="41">
    <w:name w:val="正文文本 字符"/>
    <w:link w:val="18"/>
    <w:qFormat/>
    <w:uiPriority w:val="0"/>
    <w:rPr>
      <w:rFonts w:ascii="Times New Roman" w:hAnsi="Times New Roman"/>
      <w:color w:val="0000FF"/>
      <w:kern w:val="2"/>
      <w:sz w:val="21"/>
    </w:rPr>
  </w:style>
  <w:style w:type="character" w:customStyle="1" w:styleId="42">
    <w:name w:val="题注 字符"/>
    <w:link w:val="15"/>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字符"/>
    <w:link w:val="23"/>
    <w:qFormat/>
    <w:uiPriority w:val="99"/>
    <w:rPr>
      <w:sz w:val="18"/>
      <w:szCs w:val="18"/>
    </w:rPr>
  </w:style>
  <w:style w:type="character" w:customStyle="1" w:styleId="45">
    <w:name w:val="标题 2 字符"/>
    <w:link w:val="3"/>
    <w:qFormat/>
    <w:uiPriority w:val="0"/>
    <w:rPr>
      <w:rFonts w:ascii="Times New Roman" w:hAnsi="Times New Roman" w:eastAsiaTheme="minorEastAsia"/>
      <w:b/>
      <w:bCs/>
      <w:sz w:val="32"/>
      <w:szCs w:val="32"/>
      <w:lang w:val="en-US" w:eastAsia="zh-CN"/>
    </w:rPr>
  </w:style>
  <w:style w:type="character" w:customStyle="1" w:styleId="46">
    <w:name w:val="标题 3 字符"/>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字符"/>
    <w:link w:val="21"/>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字符"/>
    <w:link w:val="20"/>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62"/>
    <w:qFormat/>
    <w:uiPriority w:val="0"/>
    <w:pPr>
      <w:spacing w:line="240" w:lineRule="auto"/>
      <w:ind w:left="851" w:hanging="851"/>
    </w:pPr>
    <w:rPr>
      <w:szCs w:val="20"/>
      <w:lang w:val="en-GB" w:eastAsia="en-US"/>
    </w:rPr>
  </w:style>
  <w:style w:type="character" w:customStyle="1" w:styleId="65">
    <w:name w:val="标题 4 字符"/>
    <w:link w:val="5"/>
    <w:qFormat/>
    <w:uiPriority w:val="0"/>
    <w:rPr>
      <w:rFonts w:ascii="Times New Roman" w:hAnsi="Times New Roman"/>
      <w:b/>
      <w:sz w:val="28"/>
      <w:szCs w:val="28"/>
      <w:lang w:val="en-GB"/>
    </w:rPr>
  </w:style>
  <w:style w:type="character" w:customStyle="1" w:styleId="66">
    <w:name w:val="标题 5 字符"/>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字符"/>
    <w:basedOn w:val="29"/>
    <w:link w:val="19"/>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4"/>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13"/>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 w:type="paragraph" w:customStyle="1" w:styleId="11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11">
    <w:name w:val="3GPP H1"/>
    <w:basedOn w:val="2"/>
    <w:next w:val="101"/>
    <w:qFormat/>
    <w:uiPriority w:val="0"/>
  </w:style>
  <w:style w:type="paragraph" w:customStyle="1" w:styleId="112">
    <w:name w:val="PatApp Body"/>
    <w:basedOn w:val="1"/>
    <w:qFormat/>
    <w:uiPriority w:val="0"/>
    <w:pPr>
      <w:numPr>
        <w:ilvl w:val="0"/>
        <w:numId w:val="3"/>
      </w:numPr>
      <w:spacing w:line="480" w:lineRule="auto"/>
    </w:pPr>
    <w:rPr>
      <w:rFonts w:eastAsia="Times New Roman"/>
      <w:snapToGrid w:val="0"/>
      <w:sz w:val="24"/>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0E8CD-A31B-4CEE-8455-7FA970DE623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11</Pages>
  <Words>3521</Words>
  <Characters>20070</Characters>
  <Lines>167</Lines>
  <Paragraphs>47</Paragraphs>
  <TotalTime>793</TotalTime>
  <ScaleCrop>false</ScaleCrop>
  <LinksUpToDate>false</LinksUpToDate>
  <CharactersWithSpaces>23544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蒋创新</cp:lastModifiedBy>
  <dcterms:modified xsi:type="dcterms:W3CDTF">2023-05-15T03:04:46Z</dcterms:modified>
  <cp:revision>1038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719CF53151434EB5958EAEDD5782C736</vt:lpwstr>
  </property>
</Properties>
</file>